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87" w:rsidRDefault="00923D87" w:rsidP="00796F4C">
      <w:pPr>
        <w:widowControl w:val="0"/>
        <w:autoSpaceDE w:val="0"/>
        <w:autoSpaceDN w:val="0"/>
        <w:adjustRightInd w:val="0"/>
        <w:jc w:val="right"/>
        <w:rPr>
          <w:rFonts w:ascii="Arial" w:hAnsi="Arial" w:cs="Arial"/>
          <w:noProof/>
          <w:sz w:val="22"/>
          <w:szCs w:val="22"/>
        </w:rPr>
      </w:pPr>
    </w:p>
    <w:p w:rsidR="00923D87" w:rsidRDefault="00923D87" w:rsidP="00796F4C">
      <w:pPr>
        <w:widowControl w:val="0"/>
        <w:autoSpaceDE w:val="0"/>
        <w:autoSpaceDN w:val="0"/>
        <w:adjustRightInd w:val="0"/>
        <w:jc w:val="right"/>
        <w:rPr>
          <w:rFonts w:ascii="Arial" w:hAnsi="Arial" w:cs="Arial"/>
          <w:noProof/>
          <w:sz w:val="22"/>
          <w:szCs w:val="22"/>
        </w:rPr>
      </w:pPr>
    </w:p>
    <w:p w:rsidR="00733F40" w:rsidRDefault="00733F40" w:rsidP="001D4305">
      <w:pPr>
        <w:widowControl w:val="0"/>
        <w:autoSpaceDE w:val="0"/>
        <w:autoSpaceDN w:val="0"/>
        <w:adjustRightInd w:val="0"/>
        <w:jc w:val="right"/>
        <w:rPr>
          <w:noProof/>
        </w:rPr>
      </w:pPr>
    </w:p>
    <w:p w:rsidR="00733F40" w:rsidRPr="00733F40" w:rsidRDefault="00733F40" w:rsidP="00733F40">
      <w:pPr>
        <w:shd w:val="clear" w:color="auto" w:fill="EBEBEB"/>
        <w:spacing w:line="0" w:lineRule="auto"/>
        <w:textAlignment w:val="baseline"/>
        <w:rPr>
          <w:rFonts w:ascii="Brawler" w:hAnsi="Brawler"/>
          <w:color w:val="555555"/>
          <w:sz w:val="21"/>
          <w:szCs w:val="21"/>
        </w:rPr>
      </w:pPr>
      <w:r w:rsidRPr="00733F40">
        <w:rPr>
          <w:rFonts w:ascii="Brawler" w:hAnsi="Brawler"/>
          <w:noProof/>
          <w:color w:val="555555"/>
          <w:sz w:val="21"/>
          <w:szCs w:val="21"/>
        </w:rPr>
        <w:drawing>
          <wp:inline distT="0" distB="0" distL="0" distR="0" wp14:anchorId="4B6C77FA" wp14:editId="14A4598A">
            <wp:extent cx="6915150" cy="3810000"/>
            <wp:effectExtent l="0" t="0" r="0" b="0"/>
            <wp:docPr id="1" name="Image 1" descr="http://www.lelanceur.fr/wp-content/uploads/2016/10/R%C3%A9cemment-mis-%C3%A0-jour18-001-726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lanceur.fr/wp-content/uploads/2016/10/R%C3%A9cemment-mis-%C3%A0-jour18-001-726x4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0" cy="3810000"/>
                    </a:xfrm>
                    <a:prstGeom prst="rect">
                      <a:avLst/>
                    </a:prstGeom>
                    <a:noFill/>
                    <a:ln>
                      <a:noFill/>
                    </a:ln>
                  </pic:spPr>
                </pic:pic>
              </a:graphicData>
            </a:graphic>
          </wp:inline>
        </w:drawing>
      </w:r>
      <w:r w:rsidRPr="00733F40">
        <w:rPr>
          <w:rFonts w:ascii="Brawler" w:hAnsi="Brawler"/>
          <w:color w:val="555555"/>
          <w:sz w:val="21"/>
          <w:szCs w:val="21"/>
        </w:rPr>
        <w:t>26 corons transformés en hôtel de luxe, le projet Maisons &amp; Cités</w:t>
      </w:r>
    </w:p>
    <w:p w:rsidR="00733F40" w:rsidRDefault="00733F40" w:rsidP="00733F40">
      <w:pPr>
        <w:shd w:val="clear" w:color="auto" w:fill="FFFFFF"/>
        <w:spacing w:before="75" w:after="105" w:line="273" w:lineRule="atLeast"/>
        <w:textAlignment w:val="baseline"/>
        <w:outlineLvl w:val="0"/>
        <w:rPr>
          <w:rFonts w:ascii="Brawler" w:hAnsi="Brawler"/>
          <w:color w:val="000000"/>
          <w:kern w:val="36"/>
          <w:sz w:val="45"/>
          <w:szCs w:val="45"/>
        </w:rPr>
      </w:pPr>
      <w:r w:rsidRPr="00733F40">
        <w:rPr>
          <w:rFonts w:ascii="Brawler" w:hAnsi="Brawler"/>
          <w:color w:val="000000"/>
          <w:kern w:val="36"/>
          <w:sz w:val="45"/>
          <w:szCs w:val="45"/>
        </w:rPr>
        <w:t>L’hôtel de luxe du logement social qui gêne le pouvoir socialiste</w:t>
      </w:r>
    </w:p>
    <w:p w:rsidR="00733F40" w:rsidRPr="00733F40" w:rsidRDefault="00733F40" w:rsidP="00733F40">
      <w:pPr>
        <w:shd w:val="clear" w:color="auto" w:fill="FFFFFF"/>
        <w:spacing w:before="75" w:after="105" w:line="273" w:lineRule="atLeast"/>
        <w:textAlignment w:val="baseline"/>
        <w:outlineLvl w:val="0"/>
        <w:rPr>
          <w:rFonts w:ascii="Brawler" w:hAnsi="Brawler"/>
          <w:color w:val="000000"/>
          <w:kern w:val="36"/>
          <w:sz w:val="45"/>
          <w:szCs w:val="45"/>
        </w:rPr>
      </w:pPr>
    </w:p>
    <w:p w:rsidR="00733F40" w:rsidRPr="00733F40" w:rsidRDefault="00733F40" w:rsidP="00733F40">
      <w:pPr>
        <w:shd w:val="clear" w:color="auto" w:fill="FFFFFF"/>
        <w:textAlignment w:val="baseline"/>
        <w:rPr>
          <w:b/>
          <w:bCs/>
          <w:color w:val="000000"/>
          <w:sz w:val="18"/>
          <w:szCs w:val="18"/>
        </w:rPr>
      </w:pPr>
      <w:r w:rsidRPr="00733F40">
        <w:rPr>
          <w:b/>
          <w:bCs/>
          <w:color w:val="000000"/>
          <w:sz w:val="18"/>
          <w:szCs w:val="18"/>
        </w:rPr>
        <w:t>5 octobre 2016  Par </w:t>
      </w:r>
      <w:hyperlink r:id="rId9" w:history="1">
        <w:r w:rsidRPr="00733F40">
          <w:rPr>
            <w:rFonts w:ascii="inherit" w:hAnsi="inherit"/>
            <w:b/>
            <w:bCs/>
            <w:color w:val="000000"/>
            <w:sz w:val="18"/>
            <w:szCs w:val="18"/>
            <w:u w:val="single"/>
            <w:bdr w:val="none" w:sz="0" w:space="0" w:color="auto" w:frame="1"/>
          </w:rPr>
          <w:t>Antoine Dreyfus</w:t>
        </w:r>
      </w:hyperlink>
    </w:p>
    <w:p w:rsidR="00733F40" w:rsidRPr="00733F40" w:rsidRDefault="00733F40" w:rsidP="00733F40">
      <w:r w:rsidRPr="00733F40">
        <w:rPr>
          <w:rFonts w:ascii="Brawler" w:hAnsi="Brawler"/>
          <w:color w:val="555555"/>
          <w:sz w:val="21"/>
          <w:szCs w:val="21"/>
        </w:rPr>
        <w:br w:type="textWrapping" w:clear="all"/>
      </w:r>
    </w:p>
    <w:p w:rsidR="00733F40" w:rsidRPr="00733F40" w:rsidRDefault="00733F40" w:rsidP="00733F40">
      <w:pPr>
        <w:shd w:val="clear" w:color="auto" w:fill="FFFFFF"/>
        <w:spacing w:before="150" w:after="150" w:line="273" w:lineRule="atLeast"/>
        <w:jc w:val="both"/>
        <w:textAlignment w:val="baseline"/>
        <w:outlineLvl w:val="1"/>
        <w:rPr>
          <w:rFonts w:ascii="inherit" w:hAnsi="inherit"/>
          <w:b/>
          <w:bCs/>
          <w:color w:val="000000"/>
          <w:sz w:val="27"/>
          <w:szCs w:val="27"/>
        </w:rPr>
      </w:pPr>
      <w:r w:rsidRPr="00733F40">
        <w:rPr>
          <w:rFonts w:ascii="inherit" w:hAnsi="inherit"/>
          <w:b/>
          <w:bCs/>
          <w:color w:val="000000"/>
          <w:sz w:val="27"/>
          <w:szCs w:val="27"/>
        </w:rPr>
        <w:t>Après l’amende infligée à l’office HLM de Puteaux (un million d’euros), le projet de Maisons et Cités (ex-Soginorpa) d’ouvrir un hôtel quatre étoiles devant le musée du Louvre Lens, pour 8 millions d’euros, gêne le Gouvernement. La transformation de 26 corons en hôtel de luxe est portée par la direction de l’entreprise, qui veut dynamiser le bassin minier. Les syndicats parlent de leur côté d’un cadeau fait à la mairie socialiste de Lens, sans dimension sociale. L’Ancols, le gendarme du secteur, suit le dossier de près.</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 </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C’est l’un des dossiers qui embarrasse le pouvoir socialiste alors que l’élection présidentielle se profile dans huit mois : la transformation de 26 corons, des maisons de mineurs, en face du musée du Louvre Lens, en hôtel de luxe de 64 chambres, en pleine terre socialiste. Un projet à 8 millions d’euros, dont 6,8 millions apportés par le groupe Maisons &amp; Cités (ex-Soginorpa) sur ses fonds propres. </w:t>
      </w:r>
      <w:r w:rsidRPr="00733F40">
        <w:rPr>
          <w:rFonts w:ascii="inherit" w:hAnsi="inherit"/>
          <w:i/>
          <w:iCs/>
          <w:color w:val="555555"/>
          <w:sz w:val="21"/>
          <w:szCs w:val="21"/>
          <w:bdr w:val="none" w:sz="0" w:space="0" w:color="auto" w:frame="1"/>
        </w:rPr>
        <w:t>“Si ce projet prenait forme, ça serait très mal perçu, à quelques mois des élections présidentielles, </w:t>
      </w:r>
      <w:r w:rsidRPr="00733F40">
        <w:rPr>
          <w:rFonts w:ascii="inherit" w:hAnsi="inherit"/>
          <w:color w:val="555555"/>
          <w:sz w:val="21"/>
          <w:szCs w:val="21"/>
        </w:rPr>
        <w:t>glisse un bon connaisseur du dossier. </w:t>
      </w:r>
      <w:r w:rsidRPr="00733F40">
        <w:rPr>
          <w:rFonts w:ascii="inherit" w:hAnsi="inherit"/>
          <w:i/>
          <w:iCs/>
          <w:color w:val="555555"/>
          <w:sz w:val="21"/>
          <w:szCs w:val="21"/>
          <w:bdr w:val="none" w:sz="0" w:space="0" w:color="auto" w:frame="1"/>
        </w:rPr>
        <w:t>Au ministère du Logement, personne ne veut de cet hôtel de luxe. C’est très risqué financièrement, juridiquement et politiquement.”</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Selon nos informations, l’Agence nationale de contrôle du logement social (Ancols, gendarme du logement social), examine attentivement le dossier Maisons &amp; Cités. Officiellement, elle ne s’est pas encore saisie du dossier, comme elle a le droit de le faire – soit par autosaisine, soit à la suite d’un signalement par des associations de consommateurs –, mais l’Agence accumule des pièces et se renseigne. Discrètement. </w:t>
      </w:r>
      <w:r w:rsidRPr="00733F40">
        <w:rPr>
          <w:rFonts w:ascii="inherit" w:hAnsi="inherit"/>
          <w:i/>
          <w:iCs/>
          <w:color w:val="555555"/>
          <w:sz w:val="21"/>
          <w:szCs w:val="21"/>
          <w:bdr w:val="none" w:sz="0" w:space="0" w:color="auto" w:frame="1"/>
        </w:rPr>
        <w:t>“L’Ancols ne peut pas agir en amont</w:t>
      </w:r>
      <w:r w:rsidRPr="00733F40">
        <w:rPr>
          <w:rFonts w:ascii="inherit" w:hAnsi="inherit"/>
          <w:color w:val="555555"/>
          <w:sz w:val="21"/>
          <w:szCs w:val="21"/>
        </w:rPr>
        <w:t>, poursuit cette source.</w:t>
      </w:r>
      <w:r>
        <w:rPr>
          <w:rFonts w:ascii="inherit" w:hAnsi="inherit"/>
          <w:color w:val="555555"/>
          <w:sz w:val="21"/>
          <w:szCs w:val="21"/>
        </w:rPr>
        <w:t xml:space="preserve"> </w:t>
      </w:r>
      <w:r w:rsidRPr="00733F40">
        <w:rPr>
          <w:rFonts w:ascii="inherit" w:hAnsi="inherit"/>
          <w:i/>
          <w:iCs/>
          <w:color w:val="555555"/>
          <w:sz w:val="21"/>
          <w:szCs w:val="21"/>
          <w:bdr w:val="none" w:sz="0" w:space="0" w:color="auto" w:frame="1"/>
        </w:rPr>
        <w:t>Elle constate d’éventuelles irrégularités et infractions, une fois qu’elles ont été commises. Et, s’il y a lieu, elle transmet ses informations au parquet qui instruit pénalement le dossier.”</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lastRenderedPageBreak/>
        <w:t>C’est ce qui s’est passé avec le dossier des HLM de Puteaux qui a récemment défrayé la chronique. En juin dernier, l’Ancols a pointé des irrégularités dans la gestion de l’office HLM de cette ville des Hauts-de-Seine.</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La plus grave de ces opérations concerne le parking souterrain Lorilleux. Financé par l’OPH pour 9,5 millions d’euros, il devait être revendu à la mairie pour 2,3 millions, soit une perte de 7,2 millions pour les HLM. L’État, via l’Ancols, a infligé en août 2016 une amende d’un million d’euros à l’office HLM de Puteaux, pour “irrégularités” et “fautes graves”. Motifs : une société HLM n’a pas vocation à financer un parking municipal.</w:t>
      </w:r>
    </w:p>
    <w:p w:rsidR="00733F40" w:rsidRPr="00733F40" w:rsidRDefault="00733F40" w:rsidP="00733F40">
      <w:pPr>
        <w:shd w:val="clear" w:color="auto" w:fill="FFFFFF"/>
        <w:spacing w:before="150" w:after="150" w:line="273" w:lineRule="atLeast"/>
        <w:jc w:val="both"/>
        <w:textAlignment w:val="baseline"/>
        <w:outlineLvl w:val="2"/>
        <w:rPr>
          <w:rFonts w:ascii="inherit" w:hAnsi="inherit"/>
          <w:b/>
          <w:bCs/>
          <w:color w:val="000000"/>
        </w:rPr>
      </w:pPr>
      <w:r w:rsidRPr="00733F40">
        <w:rPr>
          <w:rFonts w:ascii="inherit" w:hAnsi="inherit"/>
          <w:b/>
          <w:bCs/>
          <w:color w:val="000000"/>
        </w:rPr>
        <w:t>Silence radio chez Maisons &amp; Cités</w:t>
      </w:r>
    </w:p>
    <w:p w:rsid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Selon nos informations, l’annonce de l’amende infligée à Puteaux a fait l’objet d’un tsunami au sein du groupe Maisons &amp; Cités. D’autant que le ministère du Logement a fait savoir, de manière informelle, que l’État serait désormais intraitable sur d’autres dérives.</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p>
    <w:p w:rsid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Le directeur général de Maisons &amp; Cités, Dominique Soyer, qui porte ce dossier, et qui était si prolixe dans la presse locale pour défendre son idée, est désormais aux abonnés absents. Seul interlocuteur habilité à s’exprimer, il ne veut plus parler. Il a refusé une interview au </w:t>
      </w:r>
      <w:r w:rsidRPr="00733F40">
        <w:rPr>
          <w:rFonts w:ascii="inherit" w:hAnsi="inherit"/>
          <w:i/>
          <w:iCs/>
          <w:color w:val="555555"/>
          <w:sz w:val="21"/>
          <w:szCs w:val="21"/>
          <w:bdr w:val="none" w:sz="0" w:space="0" w:color="auto" w:frame="1"/>
        </w:rPr>
        <w:t>Lanceur</w:t>
      </w:r>
      <w:r w:rsidRPr="00733F40">
        <w:rPr>
          <w:rFonts w:ascii="inherit" w:hAnsi="inherit"/>
          <w:color w:val="555555"/>
          <w:sz w:val="21"/>
          <w:szCs w:val="21"/>
        </w:rPr>
        <w:t>.</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p>
    <w:p w:rsidR="00733F40" w:rsidRDefault="00733F40" w:rsidP="00733F40">
      <w:pPr>
        <w:shd w:val="clear" w:color="auto" w:fill="FFFFFF"/>
        <w:spacing w:line="273" w:lineRule="atLeast"/>
        <w:jc w:val="both"/>
        <w:textAlignment w:val="baseline"/>
        <w:rPr>
          <w:rFonts w:ascii="inherit" w:hAnsi="inherit"/>
          <w:i/>
          <w:iCs/>
          <w:color w:val="555555"/>
          <w:sz w:val="21"/>
          <w:szCs w:val="21"/>
          <w:bdr w:val="none" w:sz="0" w:space="0" w:color="auto" w:frame="1"/>
        </w:rPr>
      </w:pPr>
      <w:r w:rsidRPr="00733F40">
        <w:rPr>
          <w:rFonts w:ascii="inherit" w:hAnsi="inherit"/>
          <w:color w:val="555555"/>
          <w:sz w:val="21"/>
          <w:szCs w:val="21"/>
        </w:rPr>
        <w:t>Les syndicats maison sont vent debout, en particulier le délégué Sud Logement social. Jean-Daniel Pognici estime que, </w:t>
      </w:r>
      <w:r w:rsidRPr="00733F40">
        <w:rPr>
          <w:rFonts w:ascii="inherit" w:hAnsi="inherit"/>
          <w:i/>
          <w:iCs/>
          <w:color w:val="555555"/>
          <w:sz w:val="21"/>
          <w:szCs w:val="21"/>
          <w:bdr w:val="none" w:sz="0" w:space="0" w:color="auto" w:frame="1"/>
        </w:rPr>
        <w:t>“sous couvert de dynamisation économique du secteur, c’est en réalité un cadeau fait à la mairie de Lens. C’est du copinage politique : M. Soyer est l’ex-directeur adjoint à la région – quand celle-ci était très rose – et donc on peut utiliser sans vergogne le patrimoine et les fonds de Maisons &amp; Cités !”</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p>
    <w:p w:rsid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Jean-Daniel Pognici pointe les nombreux liens entre la fédération du Nord du Parti socialiste, la mairie de Lens (socialiste) et l’ex-Soginorpa, impliquée dans des scandales tonitruants. Si la Soginorpa affiche désormais une gestion saine (cf. </w:t>
      </w:r>
      <w:hyperlink r:id="rId10" w:tgtFrame="_blank" w:history="1">
        <w:r w:rsidRPr="00733F40">
          <w:rPr>
            <w:rFonts w:ascii="inherit" w:hAnsi="inherit"/>
            <w:color w:val="E23320"/>
            <w:sz w:val="21"/>
            <w:szCs w:val="21"/>
            <w:u w:val="single"/>
            <w:bdr w:val="none" w:sz="0" w:space="0" w:color="auto" w:frame="1"/>
          </w:rPr>
          <w:t>rapport Standard &amp; Poor’s</w:t>
        </w:r>
      </w:hyperlink>
      <w:r w:rsidRPr="00733F40">
        <w:rPr>
          <w:rFonts w:ascii="inherit" w:hAnsi="inherit"/>
          <w:color w:val="555555"/>
          <w:sz w:val="21"/>
          <w:szCs w:val="21"/>
        </w:rPr>
        <w:t>), la chambre régionale des comptes avait critiqué celle de l’ex-président de la Soginorpa, Jean-Pierre Kucheida. Dans un document rendu public en juillet 2011 (</w:t>
      </w:r>
      <w:hyperlink r:id="rId11" w:tgtFrame="_blank" w:history="1">
        <w:r w:rsidRPr="00733F40">
          <w:rPr>
            <w:rFonts w:ascii="inherit" w:hAnsi="inherit"/>
            <w:color w:val="E23320"/>
            <w:sz w:val="21"/>
            <w:szCs w:val="21"/>
            <w:u w:val="single"/>
            <w:bdr w:val="none" w:sz="0" w:space="0" w:color="auto" w:frame="1"/>
          </w:rPr>
          <w:t>consultable sur le site de Maisons &amp; Cités</w:t>
        </w:r>
      </w:hyperlink>
      <w:r w:rsidRPr="00733F40">
        <w:rPr>
          <w:rFonts w:ascii="inherit" w:hAnsi="inherit"/>
          <w:color w:val="555555"/>
          <w:sz w:val="21"/>
          <w:szCs w:val="21"/>
        </w:rPr>
        <w:t>, comme la réponse de M&amp;S), les magistrats avaient notamment relevé des bizarreries dans les appels d’offres et pointé de nombreuses irrégularités dans la gestion : emprunts toxiques, abus sociaux, attribution des logements “politiques” aux membres du PS…</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L’ancien maire de Liévin, Jean-Pierre Kucheida, avait été condamné en mai 2013 à 30 000 euros d’amende pour abus de biens sociaux au détriment de la Soginorpa, qu’il a présidée de 2004 à juin 2012. Il avait été reconnu coupable d’avoir utilisé abusivement la carte bancaire de ce bailleur social et de ne pas avoir justifié quelque 11 000 euros de dépenses entre 2009 et 2012.</w:t>
      </w:r>
    </w:p>
    <w:p w:rsidR="00733F40" w:rsidRPr="00733F40" w:rsidRDefault="00733F40" w:rsidP="00733F40">
      <w:pPr>
        <w:shd w:val="clear" w:color="auto" w:fill="FFFFFF"/>
        <w:spacing w:before="100" w:beforeAutospacing="1" w:afterAutospacing="1" w:line="480" w:lineRule="atLeast"/>
        <w:jc w:val="both"/>
        <w:textAlignment w:val="baseline"/>
        <w:rPr>
          <w:rFonts w:ascii="inherit" w:hAnsi="inherit"/>
          <w:color w:val="000000"/>
          <w:spacing w:val="15"/>
          <w:sz w:val="36"/>
          <w:szCs w:val="36"/>
        </w:rPr>
      </w:pPr>
      <w:r w:rsidRPr="00733F40">
        <w:rPr>
          <w:rFonts w:ascii="inherit" w:hAnsi="inherit"/>
          <w:color w:val="000000"/>
          <w:spacing w:val="15"/>
          <w:sz w:val="36"/>
          <w:szCs w:val="36"/>
        </w:rPr>
        <w:t>Ce n’est pas à un bailleur social de s’investir dans l’hôtellerie de luxe”</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Si le ministère du Logement examine le dossier de Maisons &amp; Cités, c’est que cet hôtel de luxe n’entre pas, a priori, dans les missions d’un organisme de logement social. Dominique Soyer, le directeur général, se justifiait en expliquant que son groupe ne voulait pas construire un hôtel</w:t>
      </w:r>
      <w:r w:rsidRPr="00733F40">
        <w:rPr>
          <w:rFonts w:ascii="inherit" w:hAnsi="inherit"/>
          <w:i/>
          <w:iCs/>
          <w:color w:val="555555"/>
          <w:sz w:val="21"/>
          <w:szCs w:val="21"/>
          <w:bdr w:val="none" w:sz="0" w:space="0" w:color="auto" w:frame="1"/>
        </w:rPr>
        <w:t>“pour faire un hôtel” </w:t>
      </w:r>
      <w:r w:rsidRPr="00733F40">
        <w:rPr>
          <w:rFonts w:ascii="inherit" w:hAnsi="inherit"/>
          <w:color w:val="555555"/>
          <w:sz w:val="21"/>
          <w:szCs w:val="21"/>
        </w:rPr>
        <w:t>: </w:t>
      </w:r>
      <w:r w:rsidRPr="00733F40">
        <w:rPr>
          <w:rFonts w:ascii="inherit" w:hAnsi="inherit"/>
          <w:i/>
          <w:iCs/>
          <w:color w:val="555555"/>
          <w:sz w:val="21"/>
          <w:szCs w:val="21"/>
          <w:bdr w:val="none" w:sz="0" w:space="0" w:color="auto" w:frame="1"/>
        </w:rPr>
        <w:t>“Nous allons au contraire amener une activité, </w:t>
      </w:r>
      <w:r w:rsidRPr="00733F40">
        <w:rPr>
          <w:rFonts w:ascii="inherit" w:hAnsi="inherit"/>
          <w:color w:val="555555"/>
          <w:sz w:val="21"/>
          <w:szCs w:val="21"/>
        </w:rPr>
        <w:t>arguait-il</w:t>
      </w:r>
      <w:r w:rsidRPr="00733F40">
        <w:rPr>
          <w:rFonts w:ascii="inherit" w:hAnsi="inherit"/>
          <w:i/>
          <w:iCs/>
          <w:color w:val="555555"/>
          <w:sz w:val="21"/>
          <w:szCs w:val="21"/>
          <w:bdr w:val="none" w:sz="0" w:space="0" w:color="auto" w:frame="1"/>
        </w:rPr>
        <w:t>, des emplois, des services. Nous allons rompre avec la mono-fonctionnalité des cités et, au contraire, amener de la vie. Nous sommes le bailleur historique du bassin minier et Lens est notre capitale. Il était donc nécessaire de poursuivre cette ambition en développant ce projet.”</w:t>
      </w:r>
    </w:p>
    <w:p w:rsidR="00733F40" w:rsidRPr="00733F40" w:rsidRDefault="00733F40" w:rsidP="00733F40">
      <w:pPr>
        <w:shd w:val="clear" w:color="auto" w:fill="FFFFFF"/>
        <w:spacing w:line="273" w:lineRule="atLeast"/>
        <w:textAlignment w:val="baseline"/>
        <w:rPr>
          <w:rFonts w:ascii="inherit" w:hAnsi="inherit"/>
          <w:color w:val="555555"/>
          <w:sz w:val="21"/>
          <w:szCs w:val="21"/>
        </w:rPr>
      </w:pPr>
      <w:r w:rsidRPr="00733F40">
        <w:rPr>
          <w:rFonts w:ascii="inherit" w:hAnsi="inherit"/>
          <w:noProof/>
          <w:color w:val="555555"/>
          <w:sz w:val="21"/>
          <w:szCs w:val="21"/>
        </w:rPr>
        <w:lastRenderedPageBreak/>
        <w:drawing>
          <wp:inline distT="0" distB="0" distL="0" distR="0" wp14:anchorId="1B439045" wp14:editId="77BDFD4F">
            <wp:extent cx="6838950" cy="4475753"/>
            <wp:effectExtent l="0" t="0" r="0" b="1270"/>
            <wp:docPr id="5" name="Image 5" descr="Argumentaire de présentation du projet de résidence hôtelière Maisons &amp; Cités, amené à remplacer les 26 corons en face du Louvre 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gumentaire de présentation du projet de résidence hôtelière Maisons &amp; Cités, amené à remplacer les 26 corons en face du Louvre Le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5111" cy="4479785"/>
                    </a:xfrm>
                    <a:prstGeom prst="rect">
                      <a:avLst/>
                    </a:prstGeom>
                    <a:noFill/>
                    <a:ln>
                      <a:noFill/>
                    </a:ln>
                  </pic:spPr>
                </pic:pic>
              </a:graphicData>
            </a:graphic>
          </wp:inline>
        </w:drawing>
      </w:r>
    </w:p>
    <w:p w:rsid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Sur le papier, il est en effet prévu, outre les 64 chambres dans les 26 petites maisons, d’autres activités : un bar, des salles de séminaire, une sandwicherie, un parking, une salle de fitness pour les occupants de l’hôtel, etc. Tout en gardant les façades historiques classées au patrimoine mondial par l’Unesco.</w:t>
      </w:r>
    </w:p>
    <w:p w:rsidR="00733F40" w:rsidRPr="00733F40" w:rsidRDefault="00733F40" w:rsidP="00733F40">
      <w:pPr>
        <w:shd w:val="clear" w:color="auto" w:fill="FFFFFF"/>
        <w:spacing w:line="273" w:lineRule="atLeast"/>
        <w:textAlignment w:val="baseline"/>
        <w:rPr>
          <w:rFonts w:ascii="inherit" w:hAnsi="inherit"/>
          <w:color w:val="555555"/>
          <w:sz w:val="21"/>
          <w:szCs w:val="21"/>
        </w:rPr>
      </w:pPr>
    </w:p>
    <w:p w:rsidR="00733F40" w:rsidRDefault="00733F40" w:rsidP="00733F40">
      <w:pPr>
        <w:shd w:val="clear" w:color="auto" w:fill="FFFFFF"/>
        <w:spacing w:line="273" w:lineRule="atLeast"/>
        <w:jc w:val="both"/>
        <w:textAlignment w:val="baseline"/>
        <w:rPr>
          <w:rFonts w:ascii="inherit" w:hAnsi="inherit"/>
          <w:i/>
          <w:iCs/>
          <w:color w:val="555555"/>
          <w:sz w:val="21"/>
          <w:szCs w:val="21"/>
          <w:bdr w:val="none" w:sz="0" w:space="0" w:color="auto" w:frame="1"/>
        </w:rPr>
      </w:pPr>
      <w:r w:rsidRPr="00733F40">
        <w:rPr>
          <w:rFonts w:ascii="inherit" w:hAnsi="inherit"/>
          <w:color w:val="555555"/>
          <w:sz w:val="21"/>
          <w:szCs w:val="21"/>
        </w:rPr>
        <w:t>Mais, pour le délégué syndical de Sud Logement, Jean-Daniel Pognici, </w:t>
      </w:r>
      <w:r w:rsidRPr="00733F40">
        <w:rPr>
          <w:rFonts w:ascii="inherit" w:hAnsi="inherit"/>
          <w:i/>
          <w:iCs/>
          <w:color w:val="555555"/>
          <w:sz w:val="21"/>
          <w:szCs w:val="21"/>
          <w:bdr w:val="none" w:sz="0" w:space="0" w:color="auto" w:frame="1"/>
        </w:rPr>
        <w:t>“ce n’est pas à un bailleur social, voire très social, de s’investir dans l’hôtellerie de luxe. Nous dénonçons, depuis l’arrivée de Dominique Soyer, la baisse des budgets d’entretien courant. Les 6,8 millions d’euros prélevés sur les fonds propres de la Soginorpa auraient pu servir à entretenir notre patrimoine. Que l’opération réussisse, tant mieux, mais cela ne change rien à la philosophie du projet par rapport à notre mission sociale. Si l’opération échoue, on se demande à quoi vont servir les patios et Jacuzzi qui vont équiper ces maisons transformées en chambres. À Lens, à part le Louvre Lens, il n’y a pas grand-chose à voir. La visite du musée se fait en une demi-journée. Est-ce que les visiteurs, qui doivent avoir aussi les moyens de payer les prestations de cet établissement, resteront sur place, alors qu’il y a Lille, Arras, éventuellement Bruxelles, à moins d’une heure de route ?”</w:t>
      </w:r>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bookmarkStart w:id="0" w:name="_GoBack"/>
      <w:bookmarkEnd w:id="0"/>
    </w:p>
    <w:p w:rsidR="00733F40" w:rsidRPr="00733F40" w:rsidRDefault="00733F40" w:rsidP="00733F40">
      <w:pPr>
        <w:shd w:val="clear" w:color="auto" w:fill="FFFFFF"/>
        <w:spacing w:line="273" w:lineRule="atLeast"/>
        <w:jc w:val="both"/>
        <w:textAlignment w:val="baseline"/>
        <w:rPr>
          <w:rFonts w:ascii="inherit" w:hAnsi="inherit"/>
          <w:color w:val="555555"/>
          <w:sz w:val="21"/>
          <w:szCs w:val="21"/>
        </w:rPr>
      </w:pPr>
      <w:r w:rsidRPr="00733F40">
        <w:rPr>
          <w:rFonts w:ascii="inherit" w:hAnsi="inherit"/>
          <w:color w:val="555555"/>
          <w:sz w:val="21"/>
          <w:szCs w:val="21"/>
        </w:rPr>
        <w:t>Du côté des associations de consommateurs, le dossier surprend aussi. Clément Allègre, l’un des spécialistes du logement social à la </w:t>
      </w:r>
      <w:hyperlink r:id="rId13" w:tgtFrame="_blank" w:history="1">
        <w:r w:rsidRPr="00733F40">
          <w:rPr>
            <w:rFonts w:ascii="inherit" w:hAnsi="inherit"/>
            <w:color w:val="E23320"/>
            <w:sz w:val="21"/>
            <w:szCs w:val="21"/>
            <w:u w:val="single"/>
            <w:bdr w:val="none" w:sz="0" w:space="0" w:color="auto" w:frame="1"/>
          </w:rPr>
          <w:t>CLCV</w:t>
        </w:r>
      </w:hyperlink>
      <w:r w:rsidRPr="00733F40">
        <w:rPr>
          <w:rFonts w:ascii="inherit" w:hAnsi="inherit"/>
          <w:color w:val="555555"/>
          <w:sz w:val="21"/>
          <w:szCs w:val="21"/>
        </w:rPr>
        <w:t>, une association nationale de défense des consommateurs et des usagers, qui a œuvré pour la transparence dans le logement social (ses rapports sont </w:t>
      </w:r>
      <w:hyperlink r:id="rId14" w:tgtFrame="_blank" w:history="1">
        <w:r w:rsidRPr="00733F40">
          <w:rPr>
            <w:rFonts w:ascii="inherit" w:hAnsi="inherit"/>
            <w:color w:val="E23320"/>
            <w:sz w:val="21"/>
            <w:szCs w:val="21"/>
            <w:u w:val="single"/>
            <w:bdr w:val="none" w:sz="0" w:space="0" w:color="auto" w:frame="1"/>
          </w:rPr>
          <w:t>consultables ici</w:t>
        </w:r>
      </w:hyperlink>
      <w:r w:rsidRPr="00733F40">
        <w:rPr>
          <w:rFonts w:ascii="inherit" w:hAnsi="inherit"/>
          <w:color w:val="555555"/>
          <w:sz w:val="21"/>
          <w:szCs w:val="21"/>
        </w:rPr>
        <w:t>), est tombé des nues lorsque nous lui avons parlé de cet établissement hôtelier : </w:t>
      </w:r>
      <w:r w:rsidRPr="00733F40">
        <w:rPr>
          <w:rFonts w:ascii="inherit" w:hAnsi="inherit"/>
          <w:i/>
          <w:iCs/>
          <w:color w:val="555555"/>
          <w:sz w:val="21"/>
          <w:szCs w:val="21"/>
          <w:bdr w:val="none" w:sz="0" w:space="0" w:color="auto" w:frame="1"/>
        </w:rPr>
        <w:t>“Juridiquement, ce groupe a dû voir comment faire pour ne pas être dans l’illégalité, en montant une filiale probablement, mais l’objet social d’une société HLM consiste bien à produire du logement social et à gérer des locataires avec une dimension sociale, pas à se diversifier dans l’hôtellerie de luxe.”</w:t>
      </w:r>
    </w:p>
    <w:p w:rsidR="00733F40" w:rsidRPr="00733F40" w:rsidRDefault="00733F40" w:rsidP="00733F40">
      <w:pPr>
        <w:shd w:val="clear" w:color="auto" w:fill="FFFFFF"/>
        <w:spacing w:line="273" w:lineRule="atLeast"/>
        <w:textAlignment w:val="baseline"/>
        <w:rPr>
          <w:rFonts w:ascii="inherit" w:hAnsi="inherit"/>
          <w:color w:val="555555"/>
          <w:sz w:val="21"/>
          <w:szCs w:val="21"/>
        </w:rPr>
      </w:pPr>
      <w:r w:rsidRPr="00733F40">
        <w:rPr>
          <w:rFonts w:ascii="inherit" w:hAnsi="inherit"/>
          <w:color w:val="555555"/>
          <w:sz w:val="21"/>
          <w:szCs w:val="21"/>
        </w:rPr>
        <w:t> </w:t>
      </w: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733F40" w:rsidRDefault="00733F40" w:rsidP="001D4305">
      <w:pPr>
        <w:widowControl w:val="0"/>
        <w:autoSpaceDE w:val="0"/>
        <w:autoSpaceDN w:val="0"/>
        <w:adjustRightInd w:val="0"/>
        <w:jc w:val="right"/>
        <w:rPr>
          <w:noProof/>
        </w:rPr>
      </w:pPr>
    </w:p>
    <w:p w:rsidR="00043F99" w:rsidRPr="00B47849" w:rsidRDefault="00043F99" w:rsidP="00B47849">
      <w:pPr>
        <w:widowControl w:val="0"/>
        <w:autoSpaceDE w:val="0"/>
        <w:autoSpaceDN w:val="0"/>
        <w:adjustRightInd w:val="0"/>
        <w:jc w:val="center"/>
        <w:rPr>
          <w:b/>
          <w:sz w:val="18"/>
          <w:szCs w:val="18"/>
        </w:rPr>
      </w:pPr>
    </w:p>
    <w:sectPr w:rsidR="00043F99" w:rsidRPr="00B47849" w:rsidSect="004248CF">
      <w:pgSz w:w="12240" w:h="15840"/>
      <w:pgMar w:top="284" w:right="851" w:bottom="284" w:left="85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235" w:rsidRDefault="00481235" w:rsidP="00656268">
      <w:r>
        <w:separator/>
      </w:r>
    </w:p>
  </w:endnote>
  <w:endnote w:type="continuationSeparator" w:id="0">
    <w:p w:rsidR="00481235" w:rsidRDefault="00481235" w:rsidP="00656268">
      <w:r>
        <w:continuationSeparator/>
      </w:r>
    </w:p>
  </w:endnote>
  <w:endnote w:type="continuationNotice" w:id="1">
    <w:p w:rsidR="00481235" w:rsidRDefault="00481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wl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235" w:rsidRDefault="00481235" w:rsidP="00656268">
      <w:r>
        <w:separator/>
      </w:r>
    </w:p>
  </w:footnote>
  <w:footnote w:type="continuationSeparator" w:id="0">
    <w:p w:rsidR="00481235" w:rsidRDefault="00481235" w:rsidP="00656268">
      <w:r>
        <w:continuationSeparator/>
      </w:r>
    </w:p>
  </w:footnote>
  <w:footnote w:type="continuationNotice" w:id="1">
    <w:p w:rsidR="00481235" w:rsidRDefault="004812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E42"/>
    <w:multiLevelType w:val="hybridMultilevel"/>
    <w:tmpl w:val="19A8872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1F1071BD"/>
    <w:multiLevelType w:val="hybridMultilevel"/>
    <w:tmpl w:val="4E62710E"/>
    <w:lvl w:ilvl="0" w:tplc="B61E53DA">
      <w:start w:val="372"/>
      <w:numFmt w:val="decimal"/>
      <w:lvlText w:val="%1"/>
      <w:lvlJc w:val="left"/>
      <w:pPr>
        <w:tabs>
          <w:tab w:val="num" w:pos="795"/>
        </w:tabs>
        <w:ind w:left="795" w:hanging="43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15:restartNumberingAfterBreak="0">
    <w:nsid w:val="22BC39C0"/>
    <w:multiLevelType w:val="hybridMultilevel"/>
    <w:tmpl w:val="465A401E"/>
    <w:lvl w:ilvl="0" w:tplc="C5E46FB8">
      <w:numFmt w:val="bullet"/>
      <w:lvlText w:val="-"/>
      <w:lvlJc w:val="left"/>
      <w:pPr>
        <w:tabs>
          <w:tab w:val="num" w:pos="1069"/>
        </w:tabs>
        <w:ind w:left="1069" w:hanging="360"/>
      </w:pPr>
      <w:rPr>
        <w:rFonts w:ascii="Arial (W1)" w:eastAsia="Times New Roman" w:hAnsi="Arial (W1)" w:hint="default"/>
      </w:rPr>
    </w:lvl>
    <w:lvl w:ilvl="1" w:tplc="040C0003">
      <w:start w:val="1"/>
      <w:numFmt w:val="bullet"/>
      <w:lvlText w:val="o"/>
      <w:lvlJc w:val="left"/>
      <w:pPr>
        <w:tabs>
          <w:tab w:val="num" w:pos="1789"/>
        </w:tabs>
        <w:ind w:left="1789" w:hanging="360"/>
      </w:pPr>
      <w:rPr>
        <w:rFonts w:ascii="Courier New" w:hAnsi="Courier New" w:hint="default"/>
      </w:rPr>
    </w:lvl>
    <w:lvl w:ilvl="2" w:tplc="040C0005">
      <w:start w:val="1"/>
      <w:numFmt w:val="bullet"/>
      <w:lvlText w:val=""/>
      <w:lvlJc w:val="left"/>
      <w:pPr>
        <w:tabs>
          <w:tab w:val="num" w:pos="2509"/>
        </w:tabs>
        <w:ind w:left="2509" w:hanging="360"/>
      </w:pPr>
      <w:rPr>
        <w:rFonts w:ascii="Wingdings" w:hAnsi="Wingdings" w:hint="default"/>
      </w:rPr>
    </w:lvl>
    <w:lvl w:ilvl="3" w:tplc="040C0001">
      <w:start w:val="1"/>
      <w:numFmt w:val="bullet"/>
      <w:lvlText w:val=""/>
      <w:lvlJc w:val="left"/>
      <w:pPr>
        <w:tabs>
          <w:tab w:val="num" w:pos="3229"/>
        </w:tabs>
        <w:ind w:left="3229" w:hanging="360"/>
      </w:pPr>
      <w:rPr>
        <w:rFonts w:ascii="Symbol" w:hAnsi="Symbol" w:hint="default"/>
      </w:rPr>
    </w:lvl>
    <w:lvl w:ilvl="4" w:tplc="040C0003">
      <w:start w:val="1"/>
      <w:numFmt w:val="bullet"/>
      <w:lvlText w:val="o"/>
      <w:lvlJc w:val="left"/>
      <w:pPr>
        <w:tabs>
          <w:tab w:val="num" w:pos="3949"/>
        </w:tabs>
        <w:ind w:left="3949" w:hanging="360"/>
      </w:pPr>
      <w:rPr>
        <w:rFonts w:ascii="Courier New" w:hAnsi="Courier New" w:hint="default"/>
      </w:rPr>
    </w:lvl>
    <w:lvl w:ilvl="5" w:tplc="040C0005">
      <w:start w:val="1"/>
      <w:numFmt w:val="bullet"/>
      <w:lvlText w:val=""/>
      <w:lvlJc w:val="left"/>
      <w:pPr>
        <w:tabs>
          <w:tab w:val="num" w:pos="4669"/>
        </w:tabs>
        <w:ind w:left="4669" w:hanging="360"/>
      </w:pPr>
      <w:rPr>
        <w:rFonts w:ascii="Wingdings" w:hAnsi="Wingdings" w:hint="default"/>
      </w:rPr>
    </w:lvl>
    <w:lvl w:ilvl="6" w:tplc="040C0001">
      <w:start w:val="1"/>
      <w:numFmt w:val="bullet"/>
      <w:lvlText w:val=""/>
      <w:lvlJc w:val="left"/>
      <w:pPr>
        <w:tabs>
          <w:tab w:val="num" w:pos="5389"/>
        </w:tabs>
        <w:ind w:left="5389" w:hanging="360"/>
      </w:pPr>
      <w:rPr>
        <w:rFonts w:ascii="Symbol" w:hAnsi="Symbol" w:hint="default"/>
      </w:rPr>
    </w:lvl>
    <w:lvl w:ilvl="7" w:tplc="040C0003">
      <w:start w:val="1"/>
      <w:numFmt w:val="bullet"/>
      <w:lvlText w:val="o"/>
      <w:lvlJc w:val="left"/>
      <w:pPr>
        <w:tabs>
          <w:tab w:val="num" w:pos="6109"/>
        </w:tabs>
        <w:ind w:left="6109" w:hanging="360"/>
      </w:pPr>
      <w:rPr>
        <w:rFonts w:ascii="Courier New" w:hAnsi="Courier New" w:hint="default"/>
      </w:rPr>
    </w:lvl>
    <w:lvl w:ilvl="8" w:tplc="040C0005">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57B07B5"/>
    <w:multiLevelType w:val="hybridMultilevel"/>
    <w:tmpl w:val="D7D0D736"/>
    <w:lvl w:ilvl="0" w:tplc="EA22E2A0">
      <w:start w:val="5"/>
      <w:numFmt w:val="decimal"/>
      <w:lvlText w:val="%1"/>
      <w:lvlJc w:val="left"/>
      <w:pPr>
        <w:ind w:left="1800" w:hanging="360"/>
      </w:pPr>
      <w:rPr>
        <w:rFonts w:cs="Times New Roman" w:hint="default"/>
      </w:rPr>
    </w:lvl>
    <w:lvl w:ilvl="1" w:tplc="040C0019">
      <w:start w:val="1"/>
      <w:numFmt w:val="lowerLetter"/>
      <w:lvlText w:val="%2."/>
      <w:lvlJc w:val="left"/>
      <w:pPr>
        <w:ind w:left="2520" w:hanging="360"/>
      </w:pPr>
      <w:rPr>
        <w:rFonts w:cs="Times New Roman"/>
      </w:rPr>
    </w:lvl>
    <w:lvl w:ilvl="2" w:tplc="040C001B">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4" w15:restartNumberingAfterBreak="0">
    <w:nsid w:val="2FD946EB"/>
    <w:multiLevelType w:val="hybridMultilevel"/>
    <w:tmpl w:val="4FE69334"/>
    <w:lvl w:ilvl="0" w:tplc="91666858">
      <w:start w:val="123"/>
      <w:numFmt w:val="decimal"/>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5" w15:restartNumberingAfterBreak="0">
    <w:nsid w:val="31B51BB6"/>
    <w:multiLevelType w:val="hybridMultilevel"/>
    <w:tmpl w:val="795C25B2"/>
    <w:lvl w:ilvl="0" w:tplc="382692E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4107DB8"/>
    <w:multiLevelType w:val="hybridMultilevel"/>
    <w:tmpl w:val="1FB846C2"/>
    <w:lvl w:ilvl="0" w:tplc="553E8E2E">
      <w:start w:val="192"/>
      <w:numFmt w:val="decimal"/>
      <w:lvlText w:val="%1"/>
      <w:lvlJc w:val="left"/>
      <w:pPr>
        <w:tabs>
          <w:tab w:val="num" w:pos="1080"/>
        </w:tabs>
        <w:ind w:left="1080" w:hanging="72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15:restartNumberingAfterBreak="0">
    <w:nsid w:val="3DCD1DBC"/>
    <w:multiLevelType w:val="hybridMultilevel"/>
    <w:tmpl w:val="67AA5042"/>
    <w:lvl w:ilvl="0" w:tplc="2E164B8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D749C1"/>
    <w:multiLevelType w:val="hybridMultilevel"/>
    <w:tmpl w:val="00F61DB0"/>
    <w:lvl w:ilvl="0" w:tplc="63FC5A5C">
      <w:numFmt w:val="bullet"/>
      <w:lvlText w:val="-"/>
      <w:lvlJc w:val="left"/>
      <w:pPr>
        <w:ind w:left="1080" w:hanging="360"/>
      </w:pPr>
      <w:rPr>
        <w:rFonts w:ascii="Arial" w:eastAsia="Times New Roman" w:hAnsi="Aria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786503A0"/>
    <w:multiLevelType w:val="hybridMultilevel"/>
    <w:tmpl w:val="88247034"/>
    <w:lvl w:ilvl="0" w:tplc="6C30DFB4">
      <w:start w:val="1"/>
      <w:numFmt w:val="decimal"/>
      <w:lvlText w:val="%1)"/>
      <w:lvlJc w:val="left"/>
      <w:pPr>
        <w:ind w:left="3240" w:hanging="360"/>
      </w:pPr>
      <w:rPr>
        <w:rFonts w:cs="Times New Roman" w:hint="default"/>
      </w:rPr>
    </w:lvl>
    <w:lvl w:ilvl="1" w:tplc="040C0019" w:tentative="1">
      <w:start w:val="1"/>
      <w:numFmt w:val="lowerLetter"/>
      <w:lvlText w:val="%2."/>
      <w:lvlJc w:val="left"/>
      <w:pPr>
        <w:ind w:left="3960" w:hanging="360"/>
      </w:pPr>
      <w:rPr>
        <w:rFonts w:cs="Times New Roman"/>
      </w:rPr>
    </w:lvl>
    <w:lvl w:ilvl="2" w:tplc="040C001B" w:tentative="1">
      <w:start w:val="1"/>
      <w:numFmt w:val="lowerRoman"/>
      <w:lvlText w:val="%3."/>
      <w:lvlJc w:val="right"/>
      <w:pPr>
        <w:ind w:left="4680" w:hanging="180"/>
      </w:pPr>
      <w:rPr>
        <w:rFonts w:cs="Times New Roman"/>
      </w:rPr>
    </w:lvl>
    <w:lvl w:ilvl="3" w:tplc="040C000F" w:tentative="1">
      <w:start w:val="1"/>
      <w:numFmt w:val="decimal"/>
      <w:lvlText w:val="%4."/>
      <w:lvlJc w:val="left"/>
      <w:pPr>
        <w:ind w:left="5400" w:hanging="360"/>
      </w:pPr>
      <w:rPr>
        <w:rFonts w:cs="Times New Roman"/>
      </w:rPr>
    </w:lvl>
    <w:lvl w:ilvl="4" w:tplc="040C0019" w:tentative="1">
      <w:start w:val="1"/>
      <w:numFmt w:val="lowerLetter"/>
      <w:lvlText w:val="%5."/>
      <w:lvlJc w:val="left"/>
      <w:pPr>
        <w:ind w:left="6120" w:hanging="360"/>
      </w:pPr>
      <w:rPr>
        <w:rFonts w:cs="Times New Roman"/>
      </w:rPr>
    </w:lvl>
    <w:lvl w:ilvl="5" w:tplc="040C001B" w:tentative="1">
      <w:start w:val="1"/>
      <w:numFmt w:val="lowerRoman"/>
      <w:lvlText w:val="%6."/>
      <w:lvlJc w:val="right"/>
      <w:pPr>
        <w:ind w:left="6840" w:hanging="180"/>
      </w:pPr>
      <w:rPr>
        <w:rFonts w:cs="Times New Roman"/>
      </w:rPr>
    </w:lvl>
    <w:lvl w:ilvl="6" w:tplc="040C000F" w:tentative="1">
      <w:start w:val="1"/>
      <w:numFmt w:val="decimal"/>
      <w:lvlText w:val="%7."/>
      <w:lvlJc w:val="left"/>
      <w:pPr>
        <w:ind w:left="7560" w:hanging="360"/>
      </w:pPr>
      <w:rPr>
        <w:rFonts w:cs="Times New Roman"/>
      </w:rPr>
    </w:lvl>
    <w:lvl w:ilvl="7" w:tplc="040C0019" w:tentative="1">
      <w:start w:val="1"/>
      <w:numFmt w:val="lowerLetter"/>
      <w:lvlText w:val="%8."/>
      <w:lvlJc w:val="left"/>
      <w:pPr>
        <w:ind w:left="8280" w:hanging="360"/>
      </w:pPr>
      <w:rPr>
        <w:rFonts w:cs="Times New Roman"/>
      </w:rPr>
    </w:lvl>
    <w:lvl w:ilvl="8" w:tplc="040C001B" w:tentative="1">
      <w:start w:val="1"/>
      <w:numFmt w:val="lowerRoman"/>
      <w:lvlText w:val="%9."/>
      <w:lvlJc w:val="right"/>
      <w:pPr>
        <w:ind w:left="9000" w:hanging="180"/>
      </w:pPr>
      <w:rPr>
        <w:rFonts w:cs="Times New Roman"/>
      </w:rPr>
    </w:lvl>
  </w:abstractNum>
  <w:abstractNum w:abstractNumId="10" w15:restartNumberingAfterBreak="0">
    <w:nsid w:val="7AD76021"/>
    <w:multiLevelType w:val="hybridMultilevel"/>
    <w:tmpl w:val="ED0A4468"/>
    <w:lvl w:ilvl="0" w:tplc="52B8F044">
      <w:start w:val="1"/>
      <w:numFmt w:val="decimal"/>
      <w:lvlText w:val="%1"/>
      <w:lvlJc w:val="left"/>
      <w:pPr>
        <w:ind w:left="3240" w:hanging="360"/>
      </w:pPr>
      <w:rPr>
        <w:rFonts w:cs="Times New Roman" w:hint="default"/>
      </w:rPr>
    </w:lvl>
    <w:lvl w:ilvl="1" w:tplc="040C0019" w:tentative="1">
      <w:start w:val="1"/>
      <w:numFmt w:val="lowerLetter"/>
      <w:lvlText w:val="%2."/>
      <w:lvlJc w:val="left"/>
      <w:pPr>
        <w:ind w:left="3960" w:hanging="360"/>
      </w:pPr>
      <w:rPr>
        <w:rFonts w:cs="Times New Roman"/>
      </w:rPr>
    </w:lvl>
    <w:lvl w:ilvl="2" w:tplc="040C001B" w:tentative="1">
      <w:start w:val="1"/>
      <w:numFmt w:val="lowerRoman"/>
      <w:lvlText w:val="%3."/>
      <w:lvlJc w:val="right"/>
      <w:pPr>
        <w:ind w:left="4680" w:hanging="180"/>
      </w:pPr>
      <w:rPr>
        <w:rFonts w:cs="Times New Roman"/>
      </w:rPr>
    </w:lvl>
    <w:lvl w:ilvl="3" w:tplc="040C000F" w:tentative="1">
      <w:start w:val="1"/>
      <w:numFmt w:val="decimal"/>
      <w:lvlText w:val="%4."/>
      <w:lvlJc w:val="left"/>
      <w:pPr>
        <w:ind w:left="5400" w:hanging="360"/>
      </w:pPr>
      <w:rPr>
        <w:rFonts w:cs="Times New Roman"/>
      </w:rPr>
    </w:lvl>
    <w:lvl w:ilvl="4" w:tplc="040C0019" w:tentative="1">
      <w:start w:val="1"/>
      <w:numFmt w:val="lowerLetter"/>
      <w:lvlText w:val="%5."/>
      <w:lvlJc w:val="left"/>
      <w:pPr>
        <w:ind w:left="6120" w:hanging="360"/>
      </w:pPr>
      <w:rPr>
        <w:rFonts w:cs="Times New Roman"/>
      </w:rPr>
    </w:lvl>
    <w:lvl w:ilvl="5" w:tplc="040C001B" w:tentative="1">
      <w:start w:val="1"/>
      <w:numFmt w:val="lowerRoman"/>
      <w:lvlText w:val="%6."/>
      <w:lvlJc w:val="right"/>
      <w:pPr>
        <w:ind w:left="6840" w:hanging="180"/>
      </w:pPr>
      <w:rPr>
        <w:rFonts w:cs="Times New Roman"/>
      </w:rPr>
    </w:lvl>
    <w:lvl w:ilvl="6" w:tplc="040C000F" w:tentative="1">
      <w:start w:val="1"/>
      <w:numFmt w:val="decimal"/>
      <w:lvlText w:val="%7."/>
      <w:lvlJc w:val="left"/>
      <w:pPr>
        <w:ind w:left="7560" w:hanging="360"/>
      </w:pPr>
      <w:rPr>
        <w:rFonts w:cs="Times New Roman"/>
      </w:rPr>
    </w:lvl>
    <w:lvl w:ilvl="7" w:tplc="040C0019" w:tentative="1">
      <w:start w:val="1"/>
      <w:numFmt w:val="lowerLetter"/>
      <w:lvlText w:val="%8."/>
      <w:lvlJc w:val="left"/>
      <w:pPr>
        <w:ind w:left="8280" w:hanging="360"/>
      </w:pPr>
      <w:rPr>
        <w:rFonts w:cs="Times New Roman"/>
      </w:rPr>
    </w:lvl>
    <w:lvl w:ilvl="8" w:tplc="040C001B" w:tentative="1">
      <w:start w:val="1"/>
      <w:numFmt w:val="lowerRoman"/>
      <w:lvlText w:val="%9."/>
      <w:lvlJc w:val="right"/>
      <w:pPr>
        <w:ind w:left="9000" w:hanging="180"/>
      </w:pPr>
      <w:rPr>
        <w:rFonts w:cs="Times New Roman"/>
      </w:rPr>
    </w:lvl>
  </w:abstractNum>
  <w:abstractNum w:abstractNumId="11" w15:restartNumberingAfterBreak="0">
    <w:nsid w:val="7E710A9C"/>
    <w:multiLevelType w:val="hybridMultilevel"/>
    <w:tmpl w:val="D1D096F6"/>
    <w:lvl w:ilvl="0" w:tplc="C2BC4B22">
      <w:numFmt w:val="bullet"/>
      <w:lvlText w:val="-"/>
      <w:lvlJc w:val="left"/>
      <w:pPr>
        <w:ind w:left="1800" w:hanging="360"/>
      </w:pPr>
      <w:rPr>
        <w:rFonts w:ascii="Arial" w:eastAsia="Times New Roman" w:hAnsi="Arial" w:hint="default"/>
      </w:rPr>
    </w:lvl>
    <w:lvl w:ilvl="1" w:tplc="040C0003" w:tentative="1">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8"/>
  </w:num>
  <w:num w:numId="6">
    <w:abstractNumId w:val="9"/>
  </w:num>
  <w:num w:numId="7">
    <w:abstractNumId w:val="3"/>
  </w:num>
  <w:num w:numId="8">
    <w:abstractNumId w:val="10"/>
  </w:num>
  <w:num w:numId="9">
    <w:abstractNumId w:val="0"/>
  </w:num>
  <w:num w:numId="10">
    <w:abstractNumId w:val="1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4C"/>
    <w:rsid w:val="00002DC1"/>
    <w:rsid w:val="00003DF3"/>
    <w:rsid w:val="00020B90"/>
    <w:rsid w:val="00025C9F"/>
    <w:rsid w:val="00030C3C"/>
    <w:rsid w:val="000331B5"/>
    <w:rsid w:val="00034816"/>
    <w:rsid w:val="00035ABC"/>
    <w:rsid w:val="00040FFA"/>
    <w:rsid w:val="0004388C"/>
    <w:rsid w:val="00043F99"/>
    <w:rsid w:val="000468A2"/>
    <w:rsid w:val="00050F12"/>
    <w:rsid w:val="000516ED"/>
    <w:rsid w:val="00051F19"/>
    <w:rsid w:val="00053CA8"/>
    <w:rsid w:val="00057C6C"/>
    <w:rsid w:val="00065065"/>
    <w:rsid w:val="00074C03"/>
    <w:rsid w:val="000836C5"/>
    <w:rsid w:val="000865FF"/>
    <w:rsid w:val="0009514C"/>
    <w:rsid w:val="0009603B"/>
    <w:rsid w:val="0009731C"/>
    <w:rsid w:val="000A2225"/>
    <w:rsid w:val="000A49D6"/>
    <w:rsid w:val="000A671E"/>
    <w:rsid w:val="000A679E"/>
    <w:rsid w:val="000A78F3"/>
    <w:rsid w:val="000B3601"/>
    <w:rsid w:val="000D3524"/>
    <w:rsid w:val="000D5681"/>
    <w:rsid w:val="000D7338"/>
    <w:rsid w:val="000E1034"/>
    <w:rsid w:val="000E3D9B"/>
    <w:rsid w:val="000E5E62"/>
    <w:rsid w:val="000F0448"/>
    <w:rsid w:val="000F07FD"/>
    <w:rsid w:val="000F3E30"/>
    <w:rsid w:val="000F40AA"/>
    <w:rsid w:val="000F61B2"/>
    <w:rsid w:val="000F6C3D"/>
    <w:rsid w:val="001011EA"/>
    <w:rsid w:val="001013EF"/>
    <w:rsid w:val="00106BFD"/>
    <w:rsid w:val="00110395"/>
    <w:rsid w:val="00111542"/>
    <w:rsid w:val="00113D01"/>
    <w:rsid w:val="00124016"/>
    <w:rsid w:val="00130CA6"/>
    <w:rsid w:val="00132DAE"/>
    <w:rsid w:val="00136F29"/>
    <w:rsid w:val="00137D7E"/>
    <w:rsid w:val="00140A69"/>
    <w:rsid w:val="001422EB"/>
    <w:rsid w:val="00144102"/>
    <w:rsid w:val="00147797"/>
    <w:rsid w:val="001537A3"/>
    <w:rsid w:val="00156C3B"/>
    <w:rsid w:val="001611DB"/>
    <w:rsid w:val="00170429"/>
    <w:rsid w:val="00172211"/>
    <w:rsid w:val="0017291E"/>
    <w:rsid w:val="00181CCC"/>
    <w:rsid w:val="0018228A"/>
    <w:rsid w:val="001828AE"/>
    <w:rsid w:val="001832F9"/>
    <w:rsid w:val="0018378A"/>
    <w:rsid w:val="001858C5"/>
    <w:rsid w:val="00197832"/>
    <w:rsid w:val="001A0344"/>
    <w:rsid w:val="001A537F"/>
    <w:rsid w:val="001B35EB"/>
    <w:rsid w:val="001B38C6"/>
    <w:rsid w:val="001B3F8A"/>
    <w:rsid w:val="001C0288"/>
    <w:rsid w:val="001D0374"/>
    <w:rsid w:val="001D0B31"/>
    <w:rsid w:val="001D3EE9"/>
    <w:rsid w:val="001D4305"/>
    <w:rsid w:val="001D7B0E"/>
    <w:rsid w:val="001E6806"/>
    <w:rsid w:val="001F0A9A"/>
    <w:rsid w:val="00200AA0"/>
    <w:rsid w:val="00210B54"/>
    <w:rsid w:val="00212FA4"/>
    <w:rsid w:val="00214D63"/>
    <w:rsid w:val="0021598C"/>
    <w:rsid w:val="00217F78"/>
    <w:rsid w:val="00222DAF"/>
    <w:rsid w:val="0024419D"/>
    <w:rsid w:val="002443A1"/>
    <w:rsid w:val="00245E88"/>
    <w:rsid w:val="00247169"/>
    <w:rsid w:val="00256C66"/>
    <w:rsid w:val="00260391"/>
    <w:rsid w:val="002618BB"/>
    <w:rsid w:val="00272DEE"/>
    <w:rsid w:val="00273161"/>
    <w:rsid w:val="00282EC5"/>
    <w:rsid w:val="00283C7D"/>
    <w:rsid w:val="002855DB"/>
    <w:rsid w:val="00295EEC"/>
    <w:rsid w:val="002A6D9F"/>
    <w:rsid w:val="002B01CE"/>
    <w:rsid w:val="002D266F"/>
    <w:rsid w:val="002E255C"/>
    <w:rsid w:val="0030279D"/>
    <w:rsid w:val="00304183"/>
    <w:rsid w:val="00307622"/>
    <w:rsid w:val="003105CC"/>
    <w:rsid w:val="00316311"/>
    <w:rsid w:val="0031666A"/>
    <w:rsid w:val="003246AA"/>
    <w:rsid w:val="00325D47"/>
    <w:rsid w:val="0032758A"/>
    <w:rsid w:val="00333A72"/>
    <w:rsid w:val="00334664"/>
    <w:rsid w:val="00334E3D"/>
    <w:rsid w:val="00337E3B"/>
    <w:rsid w:val="00342F2E"/>
    <w:rsid w:val="00344A3F"/>
    <w:rsid w:val="00347395"/>
    <w:rsid w:val="00356EB6"/>
    <w:rsid w:val="0036467B"/>
    <w:rsid w:val="00372C20"/>
    <w:rsid w:val="003741B6"/>
    <w:rsid w:val="00374F98"/>
    <w:rsid w:val="0037664B"/>
    <w:rsid w:val="0038017A"/>
    <w:rsid w:val="0038295C"/>
    <w:rsid w:val="0038342E"/>
    <w:rsid w:val="0038668B"/>
    <w:rsid w:val="00390971"/>
    <w:rsid w:val="003937C8"/>
    <w:rsid w:val="003A0054"/>
    <w:rsid w:val="003A37F9"/>
    <w:rsid w:val="003B00BA"/>
    <w:rsid w:val="003C135F"/>
    <w:rsid w:val="003C1C41"/>
    <w:rsid w:val="003C7C61"/>
    <w:rsid w:val="003D1ED5"/>
    <w:rsid w:val="003D6D37"/>
    <w:rsid w:val="003E1FD5"/>
    <w:rsid w:val="003E2A68"/>
    <w:rsid w:val="003E44FD"/>
    <w:rsid w:val="003E4B8E"/>
    <w:rsid w:val="003E554D"/>
    <w:rsid w:val="003E558A"/>
    <w:rsid w:val="003F2863"/>
    <w:rsid w:val="003F2AEF"/>
    <w:rsid w:val="0040583E"/>
    <w:rsid w:val="0041121E"/>
    <w:rsid w:val="004248CF"/>
    <w:rsid w:val="004261CC"/>
    <w:rsid w:val="0042753A"/>
    <w:rsid w:val="004309D1"/>
    <w:rsid w:val="00432E97"/>
    <w:rsid w:val="00440FB3"/>
    <w:rsid w:val="0044255D"/>
    <w:rsid w:val="004508D0"/>
    <w:rsid w:val="004521A5"/>
    <w:rsid w:val="0045383F"/>
    <w:rsid w:val="004541DA"/>
    <w:rsid w:val="00454FFD"/>
    <w:rsid w:val="00461F8B"/>
    <w:rsid w:val="00466D2D"/>
    <w:rsid w:val="00471168"/>
    <w:rsid w:val="00481235"/>
    <w:rsid w:val="00481B49"/>
    <w:rsid w:val="00483CF2"/>
    <w:rsid w:val="004918CE"/>
    <w:rsid w:val="004929B3"/>
    <w:rsid w:val="00494B2B"/>
    <w:rsid w:val="00495318"/>
    <w:rsid w:val="004962F6"/>
    <w:rsid w:val="004B13BB"/>
    <w:rsid w:val="004B41DD"/>
    <w:rsid w:val="004C0580"/>
    <w:rsid w:val="004C4BB8"/>
    <w:rsid w:val="004D19A3"/>
    <w:rsid w:val="004D1E68"/>
    <w:rsid w:val="004D2426"/>
    <w:rsid w:val="004E4E9D"/>
    <w:rsid w:val="004E5633"/>
    <w:rsid w:val="004F57B3"/>
    <w:rsid w:val="00507F8D"/>
    <w:rsid w:val="00510DFF"/>
    <w:rsid w:val="00515205"/>
    <w:rsid w:val="0053543E"/>
    <w:rsid w:val="00541F7A"/>
    <w:rsid w:val="00544382"/>
    <w:rsid w:val="00550E61"/>
    <w:rsid w:val="0056176E"/>
    <w:rsid w:val="005665FE"/>
    <w:rsid w:val="00571F6C"/>
    <w:rsid w:val="00576746"/>
    <w:rsid w:val="005803B6"/>
    <w:rsid w:val="0058126B"/>
    <w:rsid w:val="005824B2"/>
    <w:rsid w:val="00584C99"/>
    <w:rsid w:val="00585BF2"/>
    <w:rsid w:val="00591D26"/>
    <w:rsid w:val="005B2462"/>
    <w:rsid w:val="005B77D8"/>
    <w:rsid w:val="005B7985"/>
    <w:rsid w:val="005C0C21"/>
    <w:rsid w:val="005C0F4E"/>
    <w:rsid w:val="005C1376"/>
    <w:rsid w:val="005C50AB"/>
    <w:rsid w:val="005D47D2"/>
    <w:rsid w:val="005D48CE"/>
    <w:rsid w:val="005E1C5C"/>
    <w:rsid w:val="005E751A"/>
    <w:rsid w:val="005F2098"/>
    <w:rsid w:val="005F2B5D"/>
    <w:rsid w:val="005F366B"/>
    <w:rsid w:val="005F7940"/>
    <w:rsid w:val="00606E85"/>
    <w:rsid w:val="006071E2"/>
    <w:rsid w:val="00613781"/>
    <w:rsid w:val="00614C3F"/>
    <w:rsid w:val="00620B01"/>
    <w:rsid w:val="0062161A"/>
    <w:rsid w:val="00624826"/>
    <w:rsid w:val="00626619"/>
    <w:rsid w:val="00626936"/>
    <w:rsid w:val="006307AA"/>
    <w:rsid w:val="00630B93"/>
    <w:rsid w:val="00637201"/>
    <w:rsid w:val="0063752F"/>
    <w:rsid w:val="0064798B"/>
    <w:rsid w:val="00655D34"/>
    <w:rsid w:val="00656268"/>
    <w:rsid w:val="00666093"/>
    <w:rsid w:val="0067252D"/>
    <w:rsid w:val="0067350F"/>
    <w:rsid w:val="006852E0"/>
    <w:rsid w:val="0068730B"/>
    <w:rsid w:val="0068760D"/>
    <w:rsid w:val="0069147A"/>
    <w:rsid w:val="00691AA5"/>
    <w:rsid w:val="006935DF"/>
    <w:rsid w:val="00693CF4"/>
    <w:rsid w:val="006961C2"/>
    <w:rsid w:val="00696A97"/>
    <w:rsid w:val="006A3E6D"/>
    <w:rsid w:val="006A4BD1"/>
    <w:rsid w:val="006A7D18"/>
    <w:rsid w:val="006B7BA5"/>
    <w:rsid w:val="006C0107"/>
    <w:rsid w:val="006C29D5"/>
    <w:rsid w:val="006C3EFF"/>
    <w:rsid w:val="006C4E8E"/>
    <w:rsid w:val="006C794C"/>
    <w:rsid w:val="006D6BFD"/>
    <w:rsid w:val="006E1732"/>
    <w:rsid w:val="006E4D21"/>
    <w:rsid w:val="006E656C"/>
    <w:rsid w:val="006E71F6"/>
    <w:rsid w:val="006F1745"/>
    <w:rsid w:val="006F2A66"/>
    <w:rsid w:val="006F52A5"/>
    <w:rsid w:val="006F74DF"/>
    <w:rsid w:val="00701178"/>
    <w:rsid w:val="0070344F"/>
    <w:rsid w:val="00704195"/>
    <w:rsid w:val="00721C0D"/>
    <w:rsid w:val="00733F40"/>
    <w:rsid w:val="00737E62"/>
    <w:rsid w:val="00741D1D"/>
    <w:rsid w:val="00745BC7"/>
    <w:rsid w:val="00746C1C"/>
    <w:rsid w:val="00750806"/>
    <w:rsid w:val="00750DC3"/>
    <w:rsid w:val="00753562"/>
    <w:rsid w:val="00767801"/>
    <w:rsid w:val="0077590C"/>
    <w:rsid w:val="007860DC"/>
    <w:rsid w:val="007866D6"/>
    <w:rsid w:val="007900DB"/>
    <w:rsid w:val="00796F4C"/>
    <w:rsid w:val="007A2152"/>
    <w:rsid w:val="007B4250"/>
    <w:rsid w:val="007B5B3E"/>
    <w:rsid w:val="007D0A1B"/>
    <w:rsid w:val="007D2A26"/>
    <w:rsid w:val="007D3DD0"/>
    <w:rsid w:val="007D3F0B"/>
    <w:rsid w:val="007E0823"/>
    <w:rsid w:val="007E3EFC"/>
    <w:rsid w:val="007F01A7"/>
    <w:rsid w:val="007F1E2A"/>
    <w:rsid w:val="007F2E44"/>
    <w:rsid w:val="007F749C"/>
    <w:rsid w:val="007F78AF"/>
    <w:rsid w:val="0080064F"/>
    <w:rsid w:val="0080390E"/>
    <w:rsid w:val="00805307"/>
    <w:rsid w:val="00806AB7"/>
    <w:rsid w:val="00817A9D"/>
    <w:rsid w:val="00824DDD"/>
    <w:rsid w:val="0082541C"/>
    <w:rsid w:val="00827B8F"/>
    <w:rsid w:val="008302DA"/>
    <w:rsid w:val="00830968"/>
    <w:rsid w:val="00841794"/>
    <w:rsid w:val="00845DF7"/>
    <w:rsid w:val="00854094"/>
    <w:rsid w:val="0086162E"/>
    <w:rsid w:val="00866E0A"/>
    <w:rsid w:val="00867142"/>
    <w:rsid w:val="00870452"/>
    <w:rsid w:val="00873DB4"/>
    <w:rsid w:val="00881349"/>
    <w:rsid w:val="00883BAB"/>
    <w:rsid w:val="008903F9"/>
    <w:rsid w:val="00890E32"/>
    <w:rsid w:val="008960EB"/>
    <w:rsid w:val="00897A29"/>
    <w:rsid w:val="008A13D3"/>
    <w:rsid w:val="008A2E94"/>
    <w:rsid w:val="008B050F"/>
    <w:rsid w:val="008B6649"/>
    <w:rsid w:val="008B6B84"/>
    <w:rsid w:val="008C0C1D"/>
    <w:rsid w:val="008C0CFA"/>
    <w:rsid w:val="008C16FC"/>
    <w:rsid w:val="008C504B"/>
    <w:rsid w:val="008C7B1B"/>
    <w:rsid w:val="008D5B6B"/>
    <w:rsid w:val="008D6F15"/>
    <w:rsid w:val="008E030C"/>
    <w:rsid w:val="008E53EB"/>
    <w:rsid w:val="008E5907"/>
    <w:rsid w:val="008E681E"/>
    <w:rsid w:val="008F0267"/>
    <w:rsid w:val="008F09DC"/>
    <w:rsid w:val="0090070E"/>
    <w:rsid w:val="009072DC"/>
    <w:rsid w:val="009105EB"/>
    <w:rsid w:val="00912C5A"/>
    <w:rsid w:val="009208D3"/>
    <w:rsid w:val="00921248"/>
    <w:rsid w:val="009224CC"/>
    <w:rsid w:val="00923D87"/>
    <w:rsid w:val="00924E4C"/>
    <w:rsid w:val="00927D9A"/>
    <w:rsid w:val="00934E9D"/>
    <w:rsid w:val="009364E1"/>
    <w:rsid w:val="0093756F"/>
    <w:rsid w:val="0095502E"/>
    <w:rsid w:val="00961AA5"/>
    <w:rsid w:val="00963289"/>
    <w:rsid w:val="00965D86"/>
    <w:rsid w:val="009672B2"/>
    <w:rsid w:val="00967C23"/>
    <w:rsid w:val="00970C46"/>
    <w:rsid w:val="0097249C"/>
    <w:rsid w:val="00973978"/>
    <w:rsid w:val="00975159"/>
    <w:rsid w:val="009833D3"/>
    <w:rsid w:val="00983702"/>
    <w:rsid w:val="00985F1F"/>
    <w:rsid w:val="00991F6E"/>
    <w:rsid w:val="009A037E"/>
    <w:rsid w:val="009A1301"/>
    <w:rsid w:val="009A1E61"/>
    <w:rsid w:val="009A2E54"/>
    <w:rsid w:val="009A72E0"/>
    <w:rsid w:val="009B240D"/>
    <w:rsid w:val="009B584F"/>
    <w:rsid w:val="009D484C"/>
    <w:rsid w:val="009E2C03"/>
    <w:rsid w:val="009E4535"/>
    <w:rsid w:val="009E76C0"/>
    <w:rsid w:val="009F4FF7"/>
    <w:rsid w:val="009F5148"/>
    <w:rsid w:val="00A005AB"/>
    <w:rsid w:val="00A0103B"/>
    <w:rsid w:val="00A02B06"/>
    <w:rsid w:val="00A06F4B"/>
    <w:rsid w:val="00A136B3"/>
    <w:rsid w:val="00A24E59"/>
    <w:rsid w:val="00A43204"/>
    <w:rsid w:val="00A47C1D"/>
    <w:rsid w:val="00A57D99"/>
    <w:rsid w:val="00A6499E"/>
    <w:rsid w:val="00A73FD1"/>
    <w:rsid w:val="00A77F80"/>
    <w:rsid w:val="00A95444"/>
    <w:rsid w:val="00AA2B0A"/>
    <w:rsid w:val="00AA458E"/>
    <w:rsid w:val="00AB54CA"/>
    <w:rsid w:val="00AC1A28"/>
    <w:rsid w:val="00AC1D6F"/>
    <w:rsid w:val="00AC3243"/>
    <w:rsid w:val="00AC443E"/>
    <w:rsid w:val="00AC650D"/>
    <w:rsid w:val="00AD3280"/>
    <w:rsid w:val="00AD7191"/>
    <w:rsid w:val="00AE7C8C"/>
    <w:rsid w:val="00AF22EF"/>
    <w:rsid w:val="00AF2F3E"/>
    <w:rsid w:val="00AF52D0"/>
    <w:rsid w:val="00B07439"/>
    <w:rsid w:val="00B12B29"/>
    <w:rsid w:val="00B13738"/>
    <w:rsid w:val="00B2142F"/>
    <w:rsid w:val="00B229DE"/>
    <w:rsid w:val="00B232C0"/>
    <w:rsid w:val="00B23D3B"/>
    <w:rsid w:val="00B2639E"/>
    <w:rsid w:val="00B26C1C"/>
    <w:rsid w:val="00B27C76"/>
    <w:rsid w:val="00B30EE3"/>
    <w:rsid w:val="00B327E9"/>
    <w:rsid w:val="00B376DC"/>
    <w:rsid w:val="00B40AF9"/>
    <w:rsid w:val="00B42E5E"/>
    <w:rsid w:val="00B4738F"/>
    <w:rsid w:val="00B47849"/>
    <w:rsid w:val="00B50976"/>
    <w:rsid w:val="00B57BD0"/>
    <w:rsid w:val="00B63B02"/>
    <w:rsid w:val="00B71AB5"/>
    <w:rsid w:val="00B72C7A"/>
    <w:rsid w:val="00B74D74"/>
    <w:rsid w:val="00B77870"/>
    <w:rsid w:val="00B801D9"/>
    <w:rsid w:val="00B80D54"/>
    <w:rsid w:val="00B83DA0"/>
    <w:rsid w:val="00BA73B3"/>
    <w:rsid w:val="00BB0B5C"/>
    <w:rsid w:val="00BB2F59"/>
    <w:rsid w:val="00BC7794"/>
    <w:rsid w:val="00BE113C"/>
    <w:rsid w:val="00BE4EF4"/>
    <w:rsid w:val="00BF2402"/>
    <w:rsid w:val="00BF494C"/>
    <w:rsid w:val="00C002A3"/>
    <w:rsid w:val="00C03F21"/>
    <w:rsid w:val="00C054C4"/>
    <w:rsid w:val="00C11437"/>
    <w:rsid w:val="00C177E6"/>
    <w:rsid w:val="00C20431"/>
    <w:rsid w:val="00C21735"/>
    <w:rsid w:val="00C21DB2"/>
    <w:rsid w:val="00C23FFF"/>
    <w:rsid w:val="00C32F4C"/>
    <w:rsid w:val="00C35B30"/>
    <w:rsid w:val="00C35B5B"/>
    <w:rsid w:val="00C4525E"/>
    <w:rsid w:val="00C4644A"/>
    <w:rsid w:val="00C54B59"/>
    <w:rsid w:val="00C5699F"/>
    <w:rsid w:val="00C609F1"/>
    <w:rsid w:val="00C643FC"/>
    <w:rsid w:val="00C66DEE"/>
    <w:rsid w:val="00C67C48"/>
    <w:rsid w:val="00C75455"/>
    <w:rsid w:val="00C77C8E"/>
    <w:rsid w:val="00C852ED"/>
    <w:rsid w:val="00C87441"/>
    <w:rsid w:val="00C93510"/>
    <w:rsid w:val="00C9611C"/>
    <w:rsid w:val="00CA4361"/>
    <w:rsid w:val="00CA5835"/>
    <w:rsid w:val="00CB125B"/>
    <w:rsid w:val="00CC5553"/>
    <w:rsid w:val="00CD2294"/>
    <w:rsid w:val="00CE7E2E"/>
    <w:rsid w:val="00CF4761"/>
    <w:rsid w:val="00CF5240"/>
    <w:rsid w:val="00CF67CB"/>
    <w:rsid w:val="00CF6C61"/>
    <w:rsid w:val="00D31E6A"/>
    <w:rsid w:val="00D517AA"/>
    <w:rsid w:val="00D56CE5"/>
    <w:rsid w:val="00D6137A"/>
    <w:rsid w:val="00D6296E"/>
    <w:rsid w:val="00D6589C"/>
    <w:rsid w:val="00D66390"/>
    <w:rsid w:val="00D66ABA"/>
    <w:rsid w:val="00D7584B"/>
    <w:rsid w:val="00D77D1D"/>
    <w:rsid w:val="00D858EE"/>
    <w:rsid w:val="00D863E0"/>
    <w:rsid w:val="00D87AC9"/>
    <w:rsid w:val="00D920E3"/>
    <w:rsid w:val="00D94E7C"/>
    <w:rsid w:val="00DA5255"/>
    <w:rsid w:val="00DA7E99"/>
    <w:rsid w:val="00DB4268"/>
    <w:rsid w:val="00DB4549"/>
    <w:rsid w:val="00DB7DC2"/>
    <w:rsid w:val="00DB7E11"/>
    <w:rsid w:val="00DC103F"/>
    <w:rsid w:val="00DD4387"/>
    <w:rsid w:val="00DD49F1"/>
    <w:rsid w:val="00DD6B56"/>
    <w:rsid w:val="00DE2EB1"/>
    <w:rsid w:val="00DE79FC"/>
    <w:rsid w:val="00DF5B8B"/>
    <w:rsid w:val="00E06235"/>
    <w:rsid w:val="00E322A6"/>
    <w:rsid w:val="00E3509C"/>
    <w:rsid w:val="00E4155A"/>
    <w:rsid w:val="00E432A9"/>
    <w:rsid w:val="00E45FEE"/>
    <w:rsid w:val="00E5300C"/>
    <w:rsid w:val="00E67EDD"/>
    <w:rsid w:val="00E715B7"/>
    <w:rsid w:val="00E749E5"/>
    <w:rsid w:val="00E77FB8"/>
    <w:rsid w:val="00E80E2B"/>
    <w:rsid w:val="00E81EEA"/>
    <w:rsid w:val="00EB30CC"/>
    <w:rsid w:val="00EC2E42"/>
    <w:rsid w:val="00EC360B"/>
    <w:rsid w:val="00ED07E7"/>
    <w:rsid w:val="00ED40EA"/>
    <w:rsid w:val="00ED7D1E"/>
    <w:rsid w:val="00EE4823"/>
    <w:rsid w:val="00EE5125"/>
    <w:rsid w:val="00EE7EA9"/>
    <w:rsid w:val="00F07142"/>
    <w:rsid w:val="00F11F1E"/>
    <w:rsid w:val="00F1509F"/>
    <w:rsid w:val="00F156AA"/>
    <w:rsid w:val="00F2238E"/>
    <w:rsid w:val="00F27C70"/>
    <w:rsid w:val="00F34386"/>
    <w:rsid w:val="00F368AB"/>
    <w:rsid w:val="00F372EE"/>
    <w:rsid w:val="00F37435"/>
    <w:rsid w:val="00F41D92"/>
    <w:rsid w:val="00F5125F"/>
    <w:rsid w:val="00F5504A"/>
    <w:rsid w:val="00F566E5"/>
    <w:rsid w:val="00F56712"/>
    <w:rsid w:val="00F629E0"/>
    <w:rsid w:val="00F62AEE"/>
    <w:rsid w:val="00F730DD"/>
    <w:rsid w:val="00F734E7"/>
    <w:rsid w:val="00F7375D"/>
    <w:rsid w:val="00F75350"/>
    <w:rsid w:val="00F77DB8"/>
    <w:rsid w:val="00F9187D"/>
    <w:rsid w:val="00F92E9D"/>
    <w:rsid w:val="00F944E8"/>
    <w:rsid w:val="00F96DD5"/>
    <w:rsid w:val="00FB5962"/>
    <w:rsid w:val="00FC148A"/>
    <w:rsid w:val="00FC3BB7"/>
    <w:rsid w:val="00FC5E9E"/>
    <w:rsid w:val="00FC7CEA"/>
    <w:rsid w:val="00FD234C"/>
    <w:rsid w:val="00FD4786"/>
    <w:rsid w:val="00FE0343"/>
    <w:rsid w:val="00FE3DB5"/>
    <w:rsid w:val="00FE7CF1"/>
    <w:rsid w:val="00FF0F9D"/>
    <w:rsid w:val="00FF4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ACCF"/>
  <w14:defaultImageDpi w14:val="0"/>
  <w15:docId w15:val="{C977C8E8-FB9A-449A-B22A-C6D86A6D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3">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line="240" w:lineRule="auto"/>
    </w:pPr>
    <w:rPr>
      <w:sz w:val="24"/>
      <w:szCs w:val="24"/>
    </w:rPr>
  </w:style>
  <w:style w:type="paragraph" w:styleId="Titre1">
    <w:name w:val="heading 1"/>
    <w:basedOn w:val="Normal"/>
    <w:next w:val="Normal"/>
    <w:link w:val="Titre1Car"/>
    <w:uiPriority w:val="99"/>
    <w:qFormat/>
    <w:pPr>
      <w:keepNext/>
      <w:widowControl w:val="0"/>
      <w:autoSpaceDE w:val="0"/>
      <w:autoSpaceDN w:val="0"/>
      <w:adjustRightInd w:val="0"/>
      <w:outlineLvl w:val="0"/>
    </w:pPr>
    <w:rPr>
      <w:rFonts w:ascii="Arial" w:hAnsi="Arial" w:cs="Arial"/>
      <w:b/>
      <w:bCs/>
      <w:sz w:val="20"/>
      <w:szCs w:val="20"/>
      <w:u w:val="single"/>
      <w:lang w:val="en-US"/>
    </w:rPr>
  </w:style>
  <w:style w:type="paragraph" w:styleId="Titre2">
    <w:name w:val="heading 2"/>
    <w:basedOn w:val="Normal"/>
    <w:next w:val="Normal"/>
    <w:link w:val="Titre2Car"/>
    <w:semiHidden/>
    <w:unhideWhenUsed/>
    <w:qFormat/>
    <w:locked/>
    <w:rsid w:val="00733F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semiHidden/>
    <w:unhideWhenUsed/>
    <w:qFormat/>
    <w:locked/>
    <w:rsid w:val="00733F40"/>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Cambria"/>
      <w:b/>
      <w:bCs/>
      <w:kern w:val="32"/>
      <w:sz w:val="32"/>
      <w:szCs w:val="32"/>
    </w:rPr>
  </w:style>
  <w:style w:type="paragraph" w:styleId="Corpsdetexte">
    <w:name w:val="Body Text"/>
    <w:basedOn w:val="Normal"/>
    <w:link w:val="CorpsdetexteCar"/>
    <w:uiPriority w:val="99"/>
    <w:pPr>
      <w:widowControl w:val="0"/>
      <w:autoSpaceDE w:val="0"/>
      <w:autoSpaceDN w:val="0"/>
      <w:adjustRightInd w:val="0"/>
      <w:jc w:val="both"/>
    </w:pPr>
    <w:rPr>
      <w:rFonts w:ascii="Arial" w:hAnsi="Arial" w:cs="Arial"/>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pPr>
      <w:widowControl w:val="0"/>
      <w:autoSpaceDE w:val="0"/>
      <w:autoSpaceDN w:val="0"/>
      <w:adjustRightInd w:val="0"/>
    </w:pPr>
    <w:rPr>
      <w:rFonts w:ascii="Arial" w:hAnsi="Arial" w:cs="Arial"/>
      <w:sz w:val="20"/>
      <w:szCs w:val="20"/>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Textedebulles">
    <w:name w:val="Balloon Text"/>
    <w:basedOn w:val="Normal"/>
    <w:link w:val="TextedebullesCar"/>
    <w:uiPriority w:val="99"/>
    <w:semiHidden/>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Corpsdetexte3">
    <w:name w:val="Body Text 3"/>
    <w:basedOn w:val="Normal"/>
    <w:link w:val="Corpsdetexte3Car"/>
    <w:uiPriority w:val="99"/>
    <w:pPr>
      <w:autoSpaceDE w:val="0"/>
      <w:autoSpaceDN w:val="0"/>
      <w:adjustRightInd w:val="0"/>
    </w:pPr>
    <w:rPr>
      <w:rFonts w:ascii="Arial" w:hAnsi="Arial" w:cs="Arial"/>
      <w:color w:val="000000"/>
      <w:sz w:val="20"/>
      <w:szCs w:val="2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Retraitcorpsdetexte2">
    <w:name w:val="Body Text Indent 2"/>
    <w:basedOn w:val="Normal"/>
    <w:link w:val="Retraitcorpsdetexte2Car"/>
    <w:uiPriority w:val="99"/>
    <w:pPr>
      <w:widowControl w:val="0"/>
      <w:autoSpaceDE w:val="0"/>
      <w:autoSpaceDN w:val="0"/>
      <w:adjustRightInd w:val="0"/>
      <w:ind w:left="709"/>
    </w:pPr>
    <w:rPr>
      <w:rFonts w:ascii="Arial" w:hAnsi="Arial" w:cs="Arial"/>
      <w:color w:val="000000"/>
      <w:sz w:val="20"/>
      <w:szCs w:val="20"/>
    </w:rPr>
  </w:style>
  <w:style w:type="character" w:customStyle="1" w:styleId="Retraitcorpsdetexte2Car">
    <w:name w:val="Retrait corps de texte 2 Car"/>
    <w:basedOn w:val="Policepardfaut"/>
    <w:link w:val="Retraitcorpsdetexte2"/>
    <w:uiPriority w:val="99"/>
    <w:semiHidden/>
    <w:locked/>
    <w:rPr>
      <w:rFonts w:cs="Times New Roman"/>
      <w:sz w:val="24"/>
      <w:szCs w:val="24"/>
    </w:rPr>
  </w:style>
  <w:style w:type="paragraph" w:styleId="Retraitcorpsdetexte3">
    <w:name w:val="Body Text Indent 3"/>
    <w:basedOn w:val="Normal"/>
    <w:link w:val="Retraitcorpsdetexte3Car"/>
    <w:uiPriority w:val="99"/>
    <w:pPr>
      <w:widowControl w:val="0"/>
      <w:autoSpaceDE w:val="0"/>
      <w:autoSpaceDN w:val="0"/>
      <w:adjustRightInd w:val="0"/>
      <w:ind w:left="709"/>
      <w:jc w:val="both"/>
    </w:pPr>
    <w:rPr>
      <w:rFonts w:ascii="Arial" w:hAnsi="Arial" w:cs="Arial"/>
      <w:color w:val="000000"/>
      <w:sz w:val="20"/>
      <w:szCs w:val="20"/>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paragraph" w:styleId="En-tte">
    <w:name w:val="header"/>
    <w:basedOn w:val="Normal"/>
    <w:link w:val="En-tteCar"/>
    <w:uiPriority w:val="99"/>
    <w:unhideWhenUsed/>
    <w:rsid w:val="00656268"/>
    <w:pPr>
      <w:tabs>
        <w:tab w:val="center" w:pos="4536"/>
        <w:tab w:val="right" w:pos="9072"/>
      </w:tabs>
    </w:pPr>
  </w:style>
  <w:style w:type="character" w:customStyle="1" w:styleId="En-tteCar">
    <w:name w:val="En-tête Car"/>
    <w:basedOn w:val="Policepardfaut"/>
    <w:link w:val="En-tte"/>
    <w:uiPriority w:val="99"/>
    <w:locked/>
    <w:rsid w:val="00656268"/>
    <w:rPr>
      <w:rFonts w:cs="Times New Roman"/>
      <w:sz w:val="24"/>
      <w:szCs w:val="24"/>
    </w:rPr>
  </w:style>
  <w:style w:type="paragraph" w:styleId="Pieddepage">
    <w:name w:val="footer"/>
    <w:basedOn w:val="Normal"/>
    <w:link w:val="PieddepageCar"/>
    <w:uiPriority w:val="99"/>
    <w:unhideWhenUsed/>
    <w:rsid w:val="00656268"/>
    <w:pPr>
      <w:tabs>
        <w:tab w:val="center" w:pos="4536"/>
        <w:tab w:val="right" w:pos="9072"/>
      </w:tabs>
    </w:pPr>
  </w:style>
  <w:style w:type="character" w:customStyle="1" w:styleId="PieddepageCar">
    <w:name w:val="Pied de page Car"/>
    <w:basedOn w:val="Policepardfaut"/>
    <w:link w:val="Pieddepage"/>
    <w:uiPriority w:val="99"/>
    <w:locked/>
    <w:rsid w:val="00656268"/>
    <w:rPr>
      <w:rFonts w:cs="Times New Roman"/>
      <w:sz w:val="24"/>
      <w:szCs w:val="24"/>
    </w:rPr>
  </w:style>
  <w:style w:type="character" w:styleId="Lienhypertexte">
    <w:name w:val="Hyperlink"/>
    <w:basedOn w:val="Policepardfaut"/>
    <w:uiPriority w:val="99"/>
    <w:unhideWhenUsed/>
    <w:rsid w:val="008D5B6B"/>
    <w:rPr>
      <w:rFonts w:cs="Times New Roman"/>
      <w:color w:val="0000FF" w:themeColor="hyperlink"/>
      <w:u w:val="single"/>
    </w:rPr>
  </w:style>
  <w:style w:type="character" w:styleId="Lienhypertextesuivivisit">
    <w:name w:val="FollowedHyperlink"/>
    <w:basedOn w:val="Policepardfaut"/>
    <w:uiPriority w:val="99"/>
    <w:semiHidden/>
    <w:unhideWhenUsed/>
    <w:rsid w:val="00721C0D"/>
    <w:rPr>
      <w:rFonts w:cs="Times New Roman"/>
      <w:color w:val="800080" w:themeColor="followedHyperlink"/>
      <w:u w:val="single"/>
    </w:rPr>
  </w:style>
  <w:style w:type="paragraph" w:styleId="Paragraphedeliste">
    <w:name w:val="List Paragraph"/>
    <w:basedOn w:val="Normal"/>
    <w:uiPriority w:val="34"/>
    <w:qFormat/>
    <w:rsid w:val="00890E32"/>
    <w:pPr>
      <w:ind w:left="720"/>
      <w:contextualSpacing/>
    </w:pPr>
  </w:style>
  <w:style w:type="character" w:customStyle="1" w:styleId="Titre2Car">
    <w:name w:val="Titre 2 Car"/>
    <w:basedOn w:val="Policepardfaut"/>
    <w:link w:val="Titre2"/>
    <w:semiHidden/>
    <w:rsid w:val="00733F40"/>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semiHidden/>
    <w:rsid w:val="00733F4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85305">
      <w:bodyDiv w:val="1"/>
      <w:marLeft w:val="0"/>
      <w:marRight w:val="0"/>
      <w:marTop w:val="0"/>
      <w:marBottom w:val="0"/>
      <w:divBdr>
        <w:top w:val="none" w:sz="0" w:space="0" w:color="auto"/>
        <w:left w:val="none" w:sz="0" w:space="0" w:color="auto"/>
        <w:bottom w:val="none" w:sz="0" w:space="0" w:color="auto"/>
        <w:right w:val="none" w:sz="0" w:space="0" w:color="auto"/>
      </w:divBdr>
      <w:divsChild>
        <w:div w:id="1697466346">
          <w:marLeft w:val="0"/>
          <w:marRight w:val="0"/>
          <w:marTop w:val="0"/>
          <w:marBottom w:val="75"/>
          <w:divBdr>
            <w:top w:val="none" w:sz="0" w:space="0" w:color="auto"/>
            <w:left w:val="none" w:sz="0" w:space="0" w:color="auto"/>
            <w:bottom w:val="none" w:sz="0" w:space="0" w:color="auto"/>
            <w:right w:val="none" w:sz="0" w:space="0" w:color="auto"/>
          </w:divBdr>
        </w:div>
        <w:div w:id="1932661391">
          <w:marLeft w:val="0"/>
          <w:marRight w:val="0"/>
          <w:marTop w:val="0"/>
          <w:marBottom w:val="0"/>
          <w:divBdr>
            <w:top w:val="none" w:sz="0" w:space="0" w:color="auto"/>
            <w:left w:val="none" w:sz="0" w:space="0" w:color="auto"/>
            <w:bottom w:val="none" w:sz="0" w:space="0" w:color="auto"/>
            <w:right w:val="none" w:sz="0" w:space="0" w:color="auto"/>
          </w:divBdr>
        </w:div>
        <w:div w:id="2133010452">
          <w:marLeft w:val="0"/>
          <w:marRight w:val="0"/>
          <w:marTop w:val="0"/>
          <w:marBottom w:val="0"/>
          <w:divBdr>
            <w:top w:val="single" w:sz="6" w:space="4" w:color="CCCCCC"/>
            <w:left w:val="none" w:sz="0" w:space="0" w:color="auto"/>
            <w:bottom w:val="single" w:sz="18" w:space="4" w:color="000000"/>
            <w:right w:val="none" w:sz="0" w:space="0" w:color="auto"/>
          </w:divBdr>
        </w:div>
        <w:div w:id="26150956">
          <w:marLeft w:val="0"/>
          <w:marRight w:val="0"/>
          <w:marTop w:val="0"/>
          <w:marBottom w:val="0"/>
          <w:divBdr>
            <w:top w:val="none" w:sz="0" w:space="0" w:color="auto"/>
            <w:left w:val="none" w:sz="0" w:space="0" w:color="auto"/>
            <w:bottom w:val="none" w:sz="0" w:space="0" w:color="auto"/>
            <w:right w:val="none" w:sz="0" w:space="0" w:color="auto"/>
          </w:divBdr>
          <w:divsChild>
            <w:div w:id="1010451871">
              <w:marLeft w:val="0"/>
              <w:marRight w:val="0"/>
              <w:marTop w:val="0"/>
              <w:marBottom w:val="0"/>
              <w:divBdr>
                <w:top w:val="none" w:sz="0" w:space="0" w:color="auto"/>
                <w:left w:val="none" w:sz="0" w:space="0" w:color="auto"/>
                <w:bottom w:val="none" w:sz="0" w:space="0" w:color="auto"/>
                <w:right w:val="none" w:sz="0" w:space="0" w:color="auto"/>
              </w:divBdr>
              <w:divsChild>
                <w:div w:id="1054742835">
                  <w:marLeft w:val="0"/>
                  <w:marRight w:val="0"/>
                  <w:marTop w:val="0"/>
                  <w:marBottom w:val="0"/>
                  <w:divBdr>
                    <w:top w:val="none" w:sz="0" w:space="0" w:color="auto"/>
                    <w:left w:val="none" w:sz="0" w:space="0" w:color="auto"/>
                    <w:bottom w:val="none" w:sz="0" w:space="0" w:color="auto"/>
                    <w:right w:val="none" w:sz="0" w:space="0" w:color="auto"/>
                  </w:divBdr>
                  <w:divsChild>
                    <w:div w:id="184027699">
                      <w:marLeft w:val="0"/>
                      <w:marRight w:val="0"/>
                      <w:marTop w:val="0"/>
                      <w:marBottom w:val="0"/>
                      <w:divBdr>
                        <w:top w:val="none" w:sz="0" w:space="0" w:color="auto"/>
                        <w:left w:val="none" w:sz="0" w:space="0" w:color="auto"/>
                        <w:bottom w:val="none" w:sz="0" w:space="0" w:color="auto"/>
                        <w:right w:val="none" w:sz="0" w:space="0" w:color="auto"/>
                      </w:divBdr>
                      <w:divsChild>
                        <w:div w:id="640309721">
                          <w:blockQuote w:val="1"/>
                          <w:marLeft w:val="0"/>
                          <w:marRight w:val="0"/>
                          <w:marTop w:val="225"/>
                          <w:marBottom w:val="100"/>
                          <w:divBdr>
                            <w:top w:val="none" w:sz="0" w:space="0" w:color="auto"/>
                            <w:left w:val="none" w:sz="0" w:space="0" w:color="auto"/>
                            <w:bottom w:val="none" w:sz="0" w:space="0" w:color="auto"/>
                            <w:right w:val="none" w:sz="0" w:space="0" w:color="auto"/>
                          </w:divBdr>
                        </w:div>
                        <w:div w:id="185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lcv.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sonsetcites.fr/fr/outils_transversaux/blocs_bas_de_page/rubrique_maisons_et_cites/chambre_regionale_des_comp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ribd.com/document/326503165/Soginorpa-rapport-comple-mentaire-12-11-2014" TargetMode="External"/><Relationship Id="rId4" Type="http://schemas.openxmlformats.org/officeDocument/2006/relationships/settings" Target="settings.xml"/><Relationship Id="rId9" Type="http://schemas.openxmlformats.org/officeDocument/2006/relationships/hyperlink" Target="http://www.lelanceur.fr/author/adreyfus/" TargetMode="External"/><Relationship Id="rId14" Type="http://schemas.openxmlformats.org/officeDocument/2006/relationships/hyperlink" Target="http://www.clcv.org/nos-enquetes/la-clcv-publie-45-nouveaux-rapports-d-inspection-hlm.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B6EF-1DB5-4678-8CC4-98A1F3D95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1238</Words>
  <Characters>6814</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lpstr>
    </vt:vector>
  </TitlesOfParts>
  <Company>SOGINORPA</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POGNICI</dc:creator>
  <cp:keywords/>
  <dc:description/>
  <cp:lastModifiedBy>Jean Daniel</cp:lastModifiedBy>
  <cp:revision>8</cp:revision>
  <cp:lastPrinted>2011-11-22T10:52:00Z</cp:lastPrinted>
  <dcterms:created xsi:type="dcterms:W3CDTF">2016-09-29T09:43:00Z</dcterms:created>
  <dcterms:modified xsi:type="dcterms:W3CDTF">2016-10-07T14:53:00Z</dcterms:modified>
</cp:coreProperties>
</file>